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73"/>
        <w:tabs>
          <w:tab w:val="right" w:pos="9639"/>
        </w:tabs>
        <w:spacing w:after="0"/>
        <w:outlineLvl w:val="0"/>
        <w:rPr>
          <w:rFonts w:hint="default" w:eastAsia="宋体"/>
          <w:b/>
          <w:sz w:val="24"/>
          <w:lang w:val="en-US" w:eastAsia="zh-CN"/>
        </w:rPr>
      </w:pPr>
      <w:bookmarkStart w:id="0" w:name="_Hlt449016246"/>
      <w:bookmarkEnd w:id="0"/>
      <w:bookmarkStart w:id="1" w:name="_Hlt450039480"/>
      <w:bookmarkEnd w:id="1"/>
      <w:bookmarkStart w:id="2" w:name="_Hlt450066087"/>
      <w:bookmarkEnd w:id="2"/>
      <w:bookmarkStart w:id="3" w:name="_Hlt450051172"/>
      <w:bookmarkEnd w:id="3"/>
      <w:bookmarkStart w:id="4" w:name="_Hlt448930105"/>
      <w:bookmarkEnd w:id="4"/>
      <w:bookmarkStart w:id="5" w:name="_Hlt450066085"/>
      <w:bookmarkEnd w:id="5"/>
      <w:bookmarkStart w:id="6" w:name="OLE_LINK111"/>
      <w:bookmarkStart w:id="7" w:name="OLE_LINK49"/>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w:t>
      </w:r>
      <w:r>
        <w:rPr>
          <w:rFonts w:hint="eastAsia"/>
          <w:b/>
          <w:sz w:val="24"/>
          <w:lang w:val="en-US" w:eastAsia="zh-CN"/>
        </w:rPr>
        <w:t>1</w:t>
      </w:r>
      <w:r>
        <w:rPr>
          <w:rFonts w:hint="eastAsia"/>
          <w:b/>
          <w:sz w:val="24"/>
          <w:lang w:eastAsia="zh-CN"/>
        </w:rPr>
        <w:fldChar w:fldCharType="end"/>
      </w:r>
      <w:r>
        <w:rPr>
          <w:rFonts w:hint="eastAsia"/>
          <w:b/>
          <w:sz w:val="24"/>
          <w:lang w:val="en-US" w:eastAsia="zh-CN"/>
        </w:rPr>
        <w:t>1</w:t>
      </w:r>
      <w:r>
        <w:rPr>
          <w:b/>
          <w:i/>
          <w:sz w:val="28"/>
        </w:rPr>
        <w:tab/>
      </w:r>
      <w:r>
        <w:rPr>
          <w:rFonts w:hint="eastAsia"/>
          <w:b/>
          <w:sz w:val="24"/>
        </w:rPr>
        <w:t>R4-2</w:t>
      </w:r>
      <w:r>
        <w:rPr>
          <w:rFonts w:hint="eastAsia" w:eastAsia="宋体"/>
          <w:b/>
          <w:sz w:val="24"/>
          <w:lang w:val="en-US" w:eastAsia="zh-CN"/>
        </w:rPr>
        <w:t>408799</w:t>
      </w:r>
    </w:p>
    <w:p>
      <w:pPr>
        <w:pStyle w:val="73"/>
        <w:outlineLvl w:val="0"/>
        <w:rPr>
          <w:b/>
          <w:sz w:val="24"/>
        </w:rPr>
      </w:pPr>
      <w:r>
        <w:rPr>
          <w:rFonts w:hint="eastAsia" w:eastAsia="宋体" w:cs="Arial"/>
          <w:b/>
          <w:sz w:val="24"/>
          <w:szCs w:val="24"/>
          <w:lang w:val="en-US" w:eastAsia="zh-CN"/>
        </w:rPr>
        <w:t>Fukuoka,</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Japan</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20</w:t>
      </w:r>
      <w:r>
        <w:rPr>
          <w:rFonts w:hint="eastAsia" w:ascii="Arial" w:hAnsi="Arial" w:eastAsia="宋体" w:cs="Arial"/>
          <w:b/>
          <w:sz w:val="24"/>
          <w:szCs w:val="24"/>
          <w:lang w:eastAsia="zh-CN"/>
        </w:rPr>
        <w:t>th–</w:t>
      </w:r>
      <w:r>
        <w:rPr>
          <w:rFonts w:hint="eastAsia" w:eastAsia="宋体" w:cs="Arial"/>
          <w:b/>
          <w:sz w:val="24"/>
          <w:szCs w:val="24"/>
          <w:lang w:val="en-US" w:eastAsia="zh-CN"/>
        </w:rPr>
        <w:t>24</w:t>
      </w:r>
      <w:r>
        <w:rPr>
          <w:rFonts w:hint="eastAsia" w:cs="Arial"/>
          <w:b/>
          <w:sz w:val="24"/>
          <w:szCs w:val="24"/>
          <w:lang w:val="en-US" w:eastAsia="zh-CN"/>
        </w:rPr>
        <w:t>th</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May</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4</w:t>
      </w:r>
    </w:p>
    <w:bookmarkEnd w:id="6"/>
    <w:bookmarkEnd w:id="7"/>
    <w:p>
      <w:pPr>
        <w:bidi w:val="0"/>
      </w:pP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en-US" w:eastAsia="zh-CN"/>
        </w:rPr>
        <w:t xml:space="preserve">Source: </w:t>
      </w:r>
      <w:r>
        <w:rPr>
          <w:rStyle w:val="60"/>
          <w:rFonts w:hint="eastAsia"/>
          <w:b/>
          <w:highlight w:val="none"/>
          <w:lang w:val="en-US" w:eastAsia="zh-CN"/>
        </w:rPr>
        <w:tab/>
      </w:r>
      <w:r>
        <w:rPr>
          <w:rStyle w:val="60"/>
          <w:rFonts w:hint="eastAsia"/>
          <w:b/>
          <w:highlight w:val="none"/>
          <w:lang w:val="en-US" w:eastAsia="zh-CN"/>
        </w:rPr>
        <w:t>ZTE Corporation, Sanechips</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bookmarkStart w:id="8" w:name="OLE_LINK14"/>
      <w:bookmarkStart w:id="9" w:name="OLE_LINK8"/>
      <w:r>
        <w:rPr>
          <w:rFonts w:hint="eastAsia" w:ascii="Arial" w:hAnsi="Arial"/>
          <w:b/>
          <w:sz w:val="24"/>
          <w:highlight w:val="none"/>
          <w:lang w:val="en-US" w:eastAsia="zh-CN"/>
        </w:rPr>
        <w:t>D</w:t>
      </w:r>
      <w:r>
        <w:rPr>
          <w:rStyle w:val="60"/>
          <w:rFonts w:hint="eastAsia"/>
          <w:b/>
          <w:highlight w:val="none"/>
          <w:lang w:val="pt-BR" w:eastAsia="zh-CN"/>
        </w:rPr>
        <w:t>iscussion on</w:t>
      </w:r>
      <w:bookmarkEnd w:id="8"/>
      <w:bookmarkEnd w:id="9"/>
      <w:bookmarkStart w:id="47" w:name="_GoBack"/>
      <w:bookmarkEnd w:id="47"/>
      <w:r>
        <w:rPr>
          <w:rStyle w:val="60"/>
          <w:rFonts w:hint="eastAsia"/>
          <w:b/>
          <w:highlight w:val="none"/>
          <w:lang w:val="en-US" w:eastAsia="zh-CN"/>
        </w:rPr>
        <w:t xml:space="preserve"> UE RF requirements for NR NTN phase3</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pt-BR" w:eastAsia="zh-CN"/>
        </w:rPr>
        <w:t>Agenda item:</w:t>
      </w:r>
      <w:r>
        <w:rPr>
          <w:rStyle w:val="60"/>
          <w:rFonts w:hint="eastAsia"/>
          <w:b/>
          <w:highlight w:val="none"/>
          <w:lang w:val="pt-BR" w:eastAsia="zh-CN"/>
        </w:rPr>
        <w:tab/>
      </w:r>
      <w:r>
        <w:rPr>
          <w:rStyle w:val="60"/>
          <w:rFonts w:hint="eastAsia"/>
          <w:b/>
          <w:highlight w:val="none"/>
          <w:lang w:val="en-US" w:eastAsia="zh-CN"/>
        </w:rPr>
        <w:t>10.15.2.1</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eastAsia"/>
          <w:b/>
          <w:highlight w:val="none"/>
          <w:lang w:val="pt-BR" w:eastAsia="zh-CN"/>
        </w:rPr>
      </w:pPr>
      <w:r>
        <w:rPr>
          <w:rStyle w:val="60"/>
          <w:rFonts w:hint="eastAsia"/>
          <w:b/>
          <w:highlight w:val="none"/>
          <w:lang w:val="pt-BR" w:eastAsia="zh-CN"/>
        </w:rPr>
        <w:t>Document for:</w:t>
      </w:r>
      <w:r>
        <w:rPr>
          <w:rStyle w:val="60"/>
          <w:rFonts w:hint="eastAsia"/>
          <w:b/>
          <w:highlight w:val="none"/>
          <w:lang w:val="pt-BR" w:eastAsia="zh-CN"/>
        </w:rPr>
        <w:tab/>
      </w:r>
      <w:r>
        <w:rPr>
          <w:rStyle w:val="60"/>
          <w:rFonts w:hint="eastAsia"/>
          <w:b/>
          <w:highlight w:val="none"/>
          <w:lang w:val="en-US" w:eastAsia="zh-CN"/>
        </w:rPr>
        <w:t>Approval</w:t>
      </w:r>
    </w:p>
    <w:p>
      <w:pPr>
        <w:keepNext/>
        <w:keepLines/>
        <w:pageBreakBefore w:val="0"/>
        <w:widowControl/>
        <w:pBdr>
          <w:top w:val="single" w:color="auto" w:sz="12" w:space="3"/>
        </w:pBdr>
        <w:kinsoku/>
        <w:wordWrap/>
        <w:topLinePunct w:val="0"/>
        <w:bidi w:val="0"/>
        <w:spacing w:beforeLines="0" w:after="120" w:afterLines="0"/>
        <w:jc w:val="left"/>
        <w:outlineLvl w:val="0"/>
        <w:rPr>
          <w:b/>
          <w:kern w:val="0"/>
          <w:sz w:val="28"/>
          <w:szCs w:val="28"/>
          <w:highlight w:val="none"/>
        </w:rPr>
      </w:pPr>
      <w:r>
        <w:rPr>
          <w:b/>
          <w:kern w:val="0"/>
          <w:sz w:val="28"/>
          <w:szCs w:val="28"/>
          <w:highlight w:val="none"/>
        </w:rPr>
        <w:t>1 Introduction</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r>
        <w:rPr>
          <w:rFonts w:hint="eastAsia"/>
          <w:i w:val="0"/>
          <w:iCs w:val="0"/>
          <w:sz w:val="20"/>
          <w:szCs w:val="20"/>
          <w:lang w:val="en-US" w:eastAsia="zh-CN"/>
        </w:rPr>
        <w:t>In</w:t>
      </w:r>
      <w:r>
        <w:rPr>
          <w:rFonts w:hint="default"/>
          <w:i w:val="0"/>
          <w:iCs w:val="0"/>
          <w:sz w:val="20"/>
          <w:szCs w:val="20"/>
          <w:lang w:val="en-US" w:eastAsia="zh-CN"/>
        </w:rPr>
        <w:t xml:space="preserve"> RAN#</w:t>
      </w:r>
      <w:r>
        <w:rPr>
          <w:rFonts w:hint="eastAsia"/>
          <w:i w:val="0"/>
          <w:iCs w:val="0"/>
          <w:sz w:val="20"/>
          <w:szCs w:val="20"/>
          <w:lang w:val="en-US" w:eastAsia="zh-CN"/>
        </w:rPr>
        <w:t>102</w:t>
      </w:r>
      <w:r>
        <w:rPr>
          <w:rFonts w:hint="default"/>
          <w:i w:val="0"/>
          <w:iCs w:val="0"/>
          <w:sz w:val="20"/>
          <w:szCs w:val="20"/>
          <w:lang w:val="en-US" w:eastAsia="zh-CN"/>
        </w:rPr>
        <w:t xml:space="preserve"> meeting, a</w:t>
      </w:r>
      <w:r>
        <w:rPr>
          <w:rFonts w:hint="eastAsia"/>
          <w:i w:val="0"/>
          <w:iCs w:val="0"/>
          <w:sz w:val="20"/>
          <w:szCs w:val="20"/>
          <w:lang w:val="en-US" w:eastAsia="zh-CN"/>
        </w:rPr>
        <w:t xml:space="preserve"> new</w:t>
      </w:r>
      <w:r>
        <w:rPr>
          <w:rFonts w:hint="default"/>
          <w:i w:val="0"/>
          <w:iCs w:val="0"/>
          <w:sz w:val="20"/>
          <w:szCs w:val="20"/>
          <w:lang w:val="en-US" w:eastAsia="zh-CN"/>
        </w:rPr>
        <w:t xml:space="preserve"> Work Item [1] </w:t>
      </w:r>
      <w:r>
        <w:rPr>
          <w:rFonts w:hint="eastAsia"/>
          <w:i w:val="0"/>
          <w:iCs w:val="0"/>
          <w:sz w:val="20"/>
          <w:szCs w:val="20"/>
          <w:lang w:val="en-US" w:eastAsia="zh-CN"/>
        </w:rPr>
        <w:t>was</w:t>
      </w:r>
      <w:r>
        <w:rPr>
          <w:rFonts w:hint="default"/>
          <w:i w:val="0"/>
          <w:iCs w:val="0"/>
          <w:sz w:val="20"/>
          <w:szCs w:val="20"/>
          <w:lang w:val="en-US" w:eastAsia="zh-CN"/>
        </w:rPr>
        <w:t xml:space="preserve"> approved on Non-Terrestrial Networks (NTN) for NR Phase 3</w:t>
      </w:r>
      <w:r>
        <w:rPr>
          <w:rFonts w:hint="eastAsia"/>
          <w:i w:val="0"/>
          <w:iCs w:val="0"/>
          <w:sz w:val="20"/>
          <w:szCs w:val="20"/>
          <w:lang w:val="en-US" w:eastAsia="zh-CN"/>
        </w:rPr>
        <w:t xml:space="preserve"> with the following RAN4 objective</w:t>
      </w:r>
      <w:r>
        <w:rPr>
          <w:rFonts w:hint="default"/>
          <w:i w:val="0"/>
          <w:iCs w:val="0"/>
          <w:sz w:val="20"/>
          <w:szCs w:val="20"/>
          <w:lang w:val="en-US" w:eastAsia="zh-CN"/>
        </w:rPr>
        <w:t xml:space="preserve">. In this contribution, we want to share some </w:t>
      </w:r>
      <w:r>
        <w:rPr>
          <w:rFonts w:hint="eastAsia"/>
          <w:i w:val="0"/>
          <w:iCs w:val="0"/>
          <w:sz w:val="20"/>
          <w:szCs w:val="20"/>
          <w:lang w:val="en-US" w:eastAsia="zh-CN"/>
        </w:rPr>
        <w:t>further</w:t>
      </w:r>
      <w:r>
        <w:rPr>
          <w:rFonts w:hint="default"/>
          <w:i w:val="0"/>
          <w:iCs w:val="0"/>
          <w:sz w:val="20"/>
          <w:szCs w:val="20"/>
          <w:lang w:val="en-US" w:eastAsia="zh-CN"/>
        </w:rPr>
        <w:t xml:space="preserve"> views from RedCap</w:t>
      </w:r>
      <w:r>
        <w:rPr>
          <w:rFonts w:hint="eastAsia"/>
          <w:i w:val="0"/>
          <w:iCs w:val="0"/>
          <w:sz w:val="20"/>
          <w:szCs w:val="20"/>
          <w:lang w:val="en-US" w:eastAsia="zh-CN"/>
        </w:rPr>
        <w:t xml:space="preserve"> UE RF</w:t>
      </w:r>
      <w:r>
        <w:rPr>
          <w:rFonts w:hint="default"/>
          <w:i w:val="0"/>
          <w:iCs w:val="0"/>
          <w:sz w:val="20"/>
          <w:szCs w:val="20"/>
          <w:lang w:val="en-US" w:eastAsia="zh-CN"/>
        </w:rPr>
        <w:t xml:space="preserve"> perspective.</w:t>
      </w:r>
    </w:p>
    <w:tbl>
      <w:tblPr>
        <w:tblStyle w:val="24"/>
        <w:tblW w:w="0" w:type="auto"/>
        <w:tblInd w:w="2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4" w:type="dxa"/>
          </w:tcPr>
          <w:p>
            <w:pPr>
              <w:numPr>
                <w:ilvl w:val="0"/>
                <w:numId w:val="0"/>
              </w:numPr>
              <w:overflowPunct w:val="0"/>
              <w:autoSpaceDE w:val="0"/>
              <w:autoSpaceDN w:val="0"/>
              <w:adjustRightInd w:val="0"/>
              <w:spacing w:after="0" w:line="276" w:lineRule="auto"/>
              <w:ind w:leftChars="0"/>
              <w:textAlignment w:val="baseline"/>
              <w:rPr>
                <w:rFonts w:eastAsia="Malgun Gothic"/>
                <w:lang w:val="en-US" w:eastAsia="ko-KR"/>
              </w:rPr>
            </w:pPr>
            <w:r>
              <w:rPr>
                <w:rFonts w:eastAsia="Malgun Gothic"/>
                <w:lang w:val="en-US" w:eastAsia="ko-KR"/>
              </w:rPr>
              <w:t>Support of Rel-17 RedCap and Rel-18 eRedCap UEs with NR NTN operating in FR1-NTN bands [RAN4, RAN1]</w:t>
            </w:r>
          </w:p>
          <w:p>
            <w:pPr>
              <w:pStyle w:val="34"/>
              <w:widowControl w:val="0"/>
              <w:numPr>
                <w:ilvl w:val="0"/>
                <w:numId w:val="8"/>
              </w:numPr>
              <w:overflowPunct w:val="0"/>
              <w:autoSpaceDE w:val="0"/>
              <w:autoSpaceDN w:val="0"/>
              <w:adjustRightInd w:val="0"/>
              <w:spacing w:after="0"/>
              <w:jc w:val="both"/>
              <w:textAlignment w:val="baseline"/>
              <w:rPr>
                <w:rFonts w:ascii="Times New Roman" w:hAnsi="Times New Roman"/>
                <w:sz w:val="20"/>
                <w:szCs w:val="20"/>
              </w:rPr>
            </w:pPr>
            <w:r>
              <w:rPr>
                <w:rFonts w:ascii="Times New Roman" w:hAnsi="Times New Roman"/>
                <w:sz w:val="20"/>
                <w:szCs w:val="20"/>
              </w:rPr>
              <w:t>For full-duplex FDD RedCap and eRedCap UEs, define the RF and RRM requirements [RAN4]</w:t>
            </w:r>
          </w:p>
          <w:p>
            <w:pPr>
              <w:pStyle w:val="34"/>
              <w:widowControl w:val="0"/>
              <w:numPr>
                <w:ilvl w:val="0"/>
                <w:numId w:val="8"/>
              </w:numPr>
              <w:overflowPunct w:val="0"/>
              <w:autoSpaceDE w:val="0"/>
              <w:autoSpaceDN w:val="0"/>
              <w:adjustRightInd w:val="0"/>
              <w:spacing w:after="0"/>
              <w:jc w:val="both"/>
              <w:textAlignment w:val="baseline"/>
              <w:rPr>
                <w:rFonts w:ascii="Times New Roman" w:hAnsi="Times New Roman"/>
                <w:sz w:val="20"/>
                <w:szCs w:val="20"/>
              </w:rPr>
            </w:pPr>
            <w:r>
              <w:rPr>
                <w:rFonts w:ascii="Times New Roman" w:hAnsi="Times New Roman"/>
                <w:sz w:val="20"/>
                <w:szCs w:val="20"/>
              </w:rPr>
              <w:t>For HD-FDD RedCap UEs and eRedCap UEs, check whether any essential changes are needed for their support (i.e. focusing on HD collision rules) by end of Q2/2024 [RAN1]</w:t>
            </w:r>
          </w:p>
          <w:p>
            <w:pPr>
              <w:pStyle w:val="34"/>
              <w:widowControl w:val="0"/>
              <w:numPr>
                <w:ilvl w:val="1"/>
                <w:numId w:val="8"/>
              </w:numPr>
              <w:overflowPunct w:val="0"/>
              <w:autoSpaceDE w:val="0"/>
              <w:autoSpaceDN w:val="0"/>
              <w:adjustRightInd w:val="0"/>
              <w:spacing w:after="0"/>
              <w:jc w:val="both"/>
              <w:textAlignment w:val="baseline"/>
              <w:rPr>
                <w:rFonts w:ascii="Times New Roman" w:hAnsi="Times New Roman"/>
                <w:sz w:val="20"/>
                <w:szCs w:val="20"/>
              </w:rPr>
            </w:pPr>
            <w:r>
              <w:rPr>
                <w:rFonts w:ascii="Times New Roman" w:hAnsi="Times New Roman"/>
                <w:sz w:val="20"/>
                <w:szCs w:val="20"/>
              </w:rPr>
              <w:t>Depending on feasibility assessment above, define the RF and RRM requirements [RAN4]</w:t>
            </w:r>
          </w:p>
          <w:p>
            <w:pPr>
              <w:pStyle w:val="34"/>
              <w:widowControl w:val="0"/>
              <w:numPr>
                <w:ilvl w:val="0"/>
                <w:numId w:val="8"/>
              </w:numPr>
              <w:overflowPunct w:val="0"/>
              <w:autoSpaceDE w:val="0"/>
              <w:autoSpaceDN w:val="0"/>
              <w:adjustRightInd w:val="0"/>
              <w:spacing w:after="0"/>
              <w:jc w:val="both"/>
              <w:textAlignment w:val="baseline"/>
              <w:rPr>
                <w:rFonts w:ascii="Times New Roman" w:hAnsi="Times New Roman"/>
                <w:sz w:val="20"/>
                <w:szCs w:val="20"/>
              </w:rPr>
            </w:pPr>
            <w:r>
              <w:rPr>
                <w:rFonts w:ascii="Times New Roman" w:hAnsi="Times New Roman"/>
                <w:sz w:val="20"/>
                <w:szCs w:val="20"/>
              </w:rPr>
              <w:t>Notes for this objective:</w:t>
            </w:r>
          </w:p>
          <w:p>
            <w:pPr>
              <w:pStyle w:val="34"/>
              <w:widowControl w:val="0"/>
              <w:numPr>
                <w:ilvl w:val="1"/>
                <w:numId w:val="8"/>
              </w:numPr>
              <w:overflowPunct w:val="0"/>
              <w:autoSpaceDE w:val="0"/>
              <w:autoSpaceDN w:val="0"/>
              <w:adjustRightInd w:val="0"/>
              <w:spacing w:after="0"/>
              <w:jc w:val="both"/>
              <w:textAlignment w:val="baseline"/>
              <w:rPr>
                <w:rFonts w:hint="default" w:eastAsia="宋体"/>
                <w:i w:val="0"/>
                <w:iCs w:val="0"/>
                <w:sz w:val="20"/>
                <w:szCs w:val="20"/>
                <w:vertAlign w:val="baseline"/>
                <w:lang w:val="en-US" w:eastAsia="zh-CN"/>
              </w:rPr>
            </w:pPr>
            <w:r>
              <w:rPr>
                <w:rFonts w:ascii="Times New Roman" w:hAnsi="Times New Roman"/>
                <w:sz w:val="20"/>
                <w:szCs w:val="20"/>
              </w:rPr>
              <w:t>GNSS (Global Navigation Satellite Systems) capabilities and simultaneous GNSS and NR-NTN operation is supported in RedCap/eRedCap UE.</w:t>
            </w:r>
          </w:p>
        </w:tc>
      </w:tr>
    </w:tbl>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2</w:t>
      </w:r>
      <w:r>
        <w:rPr>
          <w:rFonts w:hint="eastAsia"/>
          <w:b/>
          <w:kern w:val="0"/>
          <w:sz w:val="28"/>
          <w:szCs w:val="28"/>
          <w:highlight w:val="none"/>
          <w:lang w:val="en-US" w:eastAsia="zh-CN"/>
        </w:rPr>
        <w:t xml:space="preserve"> </w:t>
      </w:r>
      <w:r>
        <w:rPr>
          <w:b/>
          <w:kern w:val="0"/>
          <w:sz w:val="28"/>
          <w:szCs w:val="28"/>
          <w:highlight w:val="none"/>
        </w:rPr>
        <w:t>Discussion</w:t>
      </w:r>
    </w:p>
    <w:p>
      <w:pPr>
        <w:pStyle w:val="3"/>
        <w:numPr>
          <w:ilvl w:val="1"/>
          <w:numId w:val="0"/>
        </w:numPr>
        <w:bidi w:val="0"/>
        <w:ind w:leftChars="0" w:right="0" w:rightChars="0"/>
        <w:rPr>
          <w:rFonts w:hint="eastAsia"/>
          <w:lang w:val="en-US" w:eastAsia="zh-CN"/>
        </w:rPr>
      </w:pPr>
      <w:r>
        <w:rPr>
          <w:rFonts w:hint="eastAsia"/>
          <w:lang w:val="en-US" w:eastAsia="zh-CN"/>
        </w:rPr>
        <w:t>2.1 HD-FDD (e)RedCap</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
              <w:numPr>
                <w:ilvl w:val="1"/>
                <w:numId w:val="0"/>
              </w:numPr>
              <w:overflowPunct w:val="0"/>
              <w:autoSpaceDE w:val="0"/>
              <w:autoSpaceDN w:val="0"/>
              <w:adjustRightInd w:val="0"/>
              <w:ind w:leftChars="0" w:right="0" w:rightChars="0"/>
              <w:textAlignment w:val="baseline"/>
              <w:rPr>
                <w:lang w:eastAsia="zh-CN"/>
              </w:rPr>
            </w:pPr>
            <w:r>
              <w:t>Sub-topic 1-3: HD-FDD (e)RedCap</w:t>
            </w:r>
          </w:p>
          <w:p>
            <w:pPr>
              <w:overflowPunct w:val="0"/>
              <w:autoSpaceDE w:val="0"/>
              <w:autoSpaceDN w:val="0"/>
              <w:adjustRightInd w:val="0"/>
              <w:spacing w:after="180"/>
              <w:textAlignment w:val="baseline"/>
              <w:rPr>
                <w:rFonts w:hint="eastAsia"/>
                <w:vertAlign w:val="baseline"/>
                <w:lang w:val="en-US" w:eastAsia="zh-CN"/>
              </w:rPr>
            </w:pPr>
            <w:r>
              <w:rPr>
                <w:b/>
                <w:lang w:eastAsia="zh-CN"/>
              </w:rPr>
              <w:t>Agreement</w:t>
            </w:r>
            <w:r>
              <w:rPr>
                <w:lang w:eastAsia="zh-CN"/>
              </w:rPr>
              <w:t xml:space="preserve">: </w:t>
            </w:r>
            <w:r>
              <w:rPr>
                <w:szCs w:val="24"/>
                <w:lang w:eastAsia="zh-CN"/>
              </w:rPr>
              <w:t>Start the discussions on the RF requirements for NTN RedCap with HD-FDD in the next meeting (RAN4#111).</w:t>
            </w:r>
          </w:p>
        </w:tc>
      </w:tr>
    </w:tbl>
    <w:p>
      <w:pPr>
        <w:rPr>
          <w:rFonts w:hint="eastAsia"/>
          <w:sz w:val="20"/>
          <w:szCs w:val="20"/>
          <w:lang w:val="en-US" w:eastAsia="zh-CN"/>
        </w:rPr>
      </w:pPr>
      <w:r>
        <w:rPr>
          <w:rFonts w:hint="eastAsia"/>
          <w:sz w:val="20"/>
          <w:szCs w:val="20"/>
          <w:lang w:val="en-US" w:eastAsia="zh-CN"/>
        </w:rPr>
        <w:t>The above is way forward in last meeting [2], we need to start the discussions on the RF requirements for NTN RedCap with HD-FDD in this meeting. However, RAN1 is focusing on HD collision rules to access whether any essential changes are required to support of HD-FDD RedCap UEs and eRedCap UEs in FR1-NTN bands. So, it is better to wait for RAN1 outcome before defining RF requirements for NTN RedCap with HD-FDD.</w:t>
      </w:r>
    </w:p>
    <w:p>
      <w:pPr>
        <w:rPr>
          <w:rFonts w:hint="default"/>
          <w:sz w:val="20"/>
          <w:szCs w:val="20"/>
          <w:lang w:val="en-US" w:eastAsia="zh-CN"/>
        </w:rPr>
      </w:pPr>
      <w:r>
        <w:rPr>
          <w:rFonts w:hint="eastAsia"/>
          <w:b/>
          <w:bCs/>
          <w:i/>
          <w:iCs/>
          <w:sz w:val="20"/>
          <w:szCs w:val="20"/>
          <w:lang w:val="en-US" w:eastAsia="zh-CN"/>
        </w:rPr>
        <w:t>Proposal 1: It is better to wait for RAN1 outcome before defining RF requirements for NTN RedCap with HD-FDD.</w:t>
      </w:r>
    </w:p>
    <w:p>
      <w:pPr>
        <w:rPr>
          <w:rFonts w:hint="eastAsia"/>
          <w:sz w:val="20"/>
          <w:szCs w:val="20"/>
          <w:lang w:val="en-US" w:eastAsia="zh-CN"/>
        </w:rPr>
      </w:pPr>
      <w:r>
        <w:rPr>
          <w:rFonts w:hint="eastAsia"/>
          <w:sz w:val="20"/>
          <w:szCs w:val="20"/>
          <w:lang w:val="en-US" w:eastAsia="zh-CN"/>
        </w:rPr>
        <w:t>For NTN bands n256 and n255, REFSENS aligns with NR bands n65 and n24 respectively. For NTN band n254, REFSENS is based on band n53 with 0.5dB relaxation due to n254 being an FDD band distinct from TDD band n53, which may suffer from potential performance degradation caused by simultaneous Tx and Rx operations.</w:t>
      </w:r>
    </w:p>
    <w:p>
      <w:pPr>
        <w:rPr>
          <w:rFonts w:hint="default"/>
          <w:sz w:val="20"/>
          <w:szCs w:val="20"/>
          <w:lang w:val="en-US" w:eastAsia="zh-CN"/>
        </w:rPr>
      </w:pPr>
      <w:r>
        <w:rPr>
          <w:rFonts w:hint="eastAsia"/>
          <w:sz w:val="20"/>
          <w:szCs w:val="20"/>
          <w:lang w:val="en-US" w:eastAsia="zh-CN"/>
        </w:rPr>
        <w:t xml:space="preserve">Regarding NR </w:t>
      </w:r>
      <w:r>
        <w:rPr>
          <w:rFonts w:ascii="Times New Roman" w:hAnsi="Times New Roman"/>
          <w:sz w:val="20"/>
          <w:szCs w:val="20"/>
        </w:rPr>
        <w:t>HD-FDD RedCap UEs</w:t>
      </w:r>
      <w:r>
        <w:rPr>
          <w:rFonts w:hint="eastAsia"/>
          <w:sz w:val="20"/>
          <w:szCs w:val="20"/>
          <w:lang w:val="en-US" w:eastAsia="zh-CN"/>
        </w:rPr>
        <w:t>, it was agreed to tighten the 5 MHz REFSENS from FD-FDD as the following table for 5MHz CBW, which is based on the principle of a band with higher duplexer insertion loss having bigger tightening value. The 0.5 dB tightening value is derived from the insertion loss difference between HD-FDD and FD-FDD front-end filter architectures.</w:t>
      </w:r>
    </w:p>
    <w:p>
      <w:pPr>
        <w:rPr>
          <w:rFonts w:hint="eastAsia"/>
          <w:sz w:val="20"/>
          <w:szCs w:val="20"/>
          <w:lang w:val="en-US" w:eastAsia="zh-CN"/>
        </w:rPr>
      </w:pPr>
      <w:r>
        <w:rPr>
          <w:rFonts w:hint="eastAsia"/>
          <w:sz w:val="20"/>
          <w:szCs w:val="20"/>
          <w:lang w:val="en-US" w:eastAsia="zh-CN"/>
        </w:rPr>
        <w:t>In addition, NR HD-FDD REFSENS for channel BW wider than 5 MHz also was defined to be calculated by REFSENS(5MHz) + 10log10(n x N</w:t>
      </w:r>
      <w:r>
        <w:rPr>
          <w:rFonts w:hint="eastAsia"/>
          <w:sz w:val="20"/>
          <w:szCs w:val="20"/>
          <w:vertAlign w:val="subscript"/>
          <w:lang w:val="en-US" w:eastAsia="zh-CN"/>
        </w:rPr>
        <w:t>RB</w:t>
      </w:r>
      <w:r>
        <w:rPr>
          <w:rFonts w:hint="eastAsia"/>
          <w:sz w:val="20"/>
          <w:szCs w:val="20"/>
          <w:lang w:val="en-US" w:eastAsia="zh-CN"/>
        </w:rPr>
        <w:t>/25), where N</w:t>
      </w:r>
      <w:r>
        <w:rPr>
          <w:rFonts w:hint="eastAsia"/>
          <w:sz w:val="20"/>
          <w:szCs w:val="20"/>
          <w:vertAlign w:val="subscript"/>
          <w:lang w:val="en-US" w:eastAsia="zh-CN"/>
        </w:rPr>
        <w:t>RB</w:t>
      </w:r>
      <w:r>
        <w:rPr>
          <w:rFonts w:hint="eastAsia"/>
          <w:sz w:val="20"/>
          <w:szCs w:val="20"/>
          <w:lang w:val="en-US" w:eastAsia="zh-CN"/>
        </w:rPr>
        <w:t xml:space="preserve"> is the maximum transmission bandwidth configuration with n=1 for 15kHz SCS, n=2 for 30kHz SCS, and n=4 for 60kHz SCS [3]. </w:t>
      </w:r>
    </w:p>
    <w:p>
      <w:pPr>
        <w:pStyle w:val="56"/>
        <w:rPr>
          <w:rFonts w:hint="default"/>
          <w:sz w:val="20"/>
          <w:szCs w:val="20"/>
          <w:lang w:val="en-US" w:eastAsia="zh-CN"/>
        </w:rPr>
      </w:pPr>
      <w:r>
        <w:rPr>
          <w:rFonts w:hint="default" w:ascii="Times New Roman" w:hAnsi="Times New Roman" w:cs="Times New Roman"/>
          <w:sz w:val="20"/>
          <w:szCs w:val="20"/>
        </w:rPr>
        <w:t xml:space="preserve">Table </w:t>
      </w:r>
      <w:r>
        <w:rPr>
          <w:rFonts w:hint="default" w:ascii="Times New Roman" w:hAnsi="Times New Roman" w:cs="Times New Roman"/>
          <w:sz w:val="20"/>
          <w:szCs w:val="20"/>
          <w:lang w:val="en-US" w:eastAsia="zh-CN"/>
        </w:rPr>
        <w:t>2.1</w:t>
      </w:r>
      <w:r>
        <w:rPr>
          <w:rFonts w:hint="default" w:ascii="Times New Roman" w:hAnsi="Times New Roman" w:cs="Times New Roman"/>
          <w:sz w:val="20"/>
          <w:szCs w:val="20"/>
        </w:rPr>
        <w:t xml:space="preserve">: </w:t>
      </w:r>
      <w:r>
        <w:rPr>
          <w:rFonts w:hint="eastAsia" w:ascii="Times New Roman" w:hAnsi="Times New Roman" w:cs="Times New Roman"/>
          <w:sz w:val="20"/>
          <w:szCs w:val="20"/>
          <w:lang w:val="en-US" w:eastAsia="zh-CN"/>
        </w:rPr>
        <w:t xml:space="preserve">NR </w:t>
      </w:r>
      <w:r>
        <w:rPr>
          <w:rFonts w:hint="default" w:ascii="Times New Roman" w:hAnsi="Times New Roman" w:cs="Times New Roman"/>
          <w:sz w:val="20"/>
          <w:szCs w:val="20"/>
        </w:rPr>
        <w:t>HD-FDD 5MHz REFSENS tightening for different NR bands</w:t>
      </w:r>
    </w:p>
    <w:tbl>
      <w:tblPr>
        <w:tblStyle w:val="24"/>
        <w:tblW w:w="90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25"/>
        <w:gridCol w:w="2610"/>
        <w:gridCol w:w="40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425" w:type="dxa"/>
            <w:vAlign w:val="center"/>
          </w:tcPr>
          <w:p>
            <w:pPr>
              <w:overflowPunct w:val="0"/>
              <w:autoSpaceDE w:val="0"/>
              <w:autoSpaceDN w:val="0"/>
              <w:adjustRightInd w:val="0"/>
              <w:spacing w:after="180"/>
              <w:jc w:val="center"/>
              <w:textAlignment w:val="baseline"/>
              <w:rPr>
                <w:rFonts w:hint="default" w:ascii="Times New Roman" w:hAnsi="Times New Roman" w:cs="Times New Roman"/>
                <w:sz w:val="20"/>
                <w:szCs w:val="18"/>
                <w:lang w:val="en-US" w:eastAsia="zh-TW"/>
              </w:rPr>
            </w:pPr>
            <w:r>
              <w:rPr>
                <w:rFonts w:hint="default" w:ascii="Times New Roman" w:hAnsi="Times New Roman" w:cs="Times New Roman"/>
                <w:sz w:val="20"/>
                <w:szCs w:val="18"/>
                <w:lang w:val="en-US" w:eastAsia="zh-TW"/>
              </w:rPr>
              <w:t>FD-FDD 5MHz REFSENS</w:t>
            </w:r>
          </w:p>
        </w:tc>
        <w:tc>
          <w:tcPr>
            <w:tcW w:w="2610" w:type="dxa"/>
            <w:vAlign w:val="center"/>
          </w:tcPr>
          <w:p>
            <w:pPr>
              <w:overflowPunct w:val="0"/>
              <w:autoSpaceDE w:val="0"/>
              <w:autoSpaceDN w:val="0"/>
              <w:adjustRightInd w:val="0"/>
              <w:spacing w:after="180"/>
              <w:jc w:val="center"/>
              <w:textAlignment w:val="baseline"/>
              <w:rPr>
                <w:rFonts w:hint="default" w:ascii="Times New Roman" w:hAnsi="Times New Roman" w:cs="Times New Roman"/>
                <w:sz w:val="20"/>
                <w:szCs w:val="18"/>
                <w:lang w:val="en-US" w:eastAsia="zh-TW"/>
              </w:rPr>
            </w:pPr>
            <w:r>
              <w:rPr>
                <w:rFonts w:hint="default" w:ascii="Times New Roman" w:hAnsi="Times New Roman" w:cs="Times New Roman"/>
                <w:sz w:val="20"/>
                <w:szCs w:val="18"/>
                <w:lang w:val="en-US" w:eastAsia="zh-TW"/>
              </w:rPr>
              <w:t>HD-FDD REFSENS Tightening</w:t>
            </w:r>
          </w:p>
        </w:tc>
        <w:tc>
          <w:tcPr>
            <w:tcW w:w="4050" w:type="dxa"/>
            <w:vAlign w:val="center"/>
          </w:tcPr>
          <w:p>
            <w:pPr>
              <w:overflowPunct w:val="0"/>
              <w:autoSpaceDE w:val="0"/>
              <w:autoSpaceDN w:val="0"/>
              <w:adjustRightInd w:val="0"/>
              <w:spacing w:after="180"/>
              <w:jc w:val="center"/>
              <w:textAlignment w:val="baseline"/>
              <w:rPr>
                <w:rFonts w:hint="default" w:ascii="Times New Roman" w:hAnsi="Times New Roman" w:cs="Times New Roman"/>
                <w:sz w:val="20"/>
                <w:szCs w:val="18"/>
                <w:lang w:val="en-US" w:eastAsia="zh-TW"/>
              </w:rPr>
            </w:pPr>
            <w:r>
              <w:rPr>
                <w:rFonts w:hint="default" w:ascii="Times New Roman" w:hAnsi="Times New Roman" w:cs="Times New Roman"/>
                <w:sz w:val="20"/>
                <w:szCs w:val="18"/>
                <w:lang w:val="en-US" w:eastAsia="zh-TW"/>
              </w:rPr>
              <w:t>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425" w:type="dxa"/>
            <w:vAlign w:val="center"/>
          </w:tcPr>
          <w:p>
            <w:pPr>
              <w:overflowPunct w:val="0"/>
              <w:autoSpaceDE w:val="0"/>
              <w:autoSpaceDN w:val="0"/>
              <w:adjustRightInd w:val="0"/>
              <w:spacing w:after="180"/>
              <w:jc w:val="center"/>
              <w:textAlignment w:val="baseline"/>
              <w:rPr>
                <w:rFonts w:hint="default" w:ascii="Times New Roman" w:hAnsi="Times New Roman" w:cs="Times New Roman"/>
                <w:sz w:val="20"/>
                <w:szCs w:val="18"/>
                <w:lang w:val="en-US" w:eastAsia="zh-TW"/>
              </w:rPr>
            </w:pPr>
            <w:r>
              <w:rPr>
                <w:rFonts w:hint="default" w:ascii="Times New Roman" w:hAnsi="Times New Roman" w:cs="Times New Roman"/>
                <w:sz w:val="20"/>
                <w:szCs w:val="18"/>
                <w:lang w:val="en-US" w:eastAsia="zh-TW"/>
              </w:rPr>
              <w:t>≤ -100 dBm</w:t>
            </w:r>
          </w:p>
        </w:tc>
        <w:tc>
          <w:tcPr>
            <w:tcW w:w="2610" w:type="dxa"/>
            <w:vAlign w:val="center"/>
          </w:tcPr>
          <w:p>
            <w:pPr>
              <w:overflowPunct w:val="0"/>
              <w:autoSpaceDE w:val="0"/>
              <w:autoSpaceDN w:val="0"/>
              <w:adjustRightInd w:val="0"/>
              <w:spacing w:after="180"/>
              <w:jc w:val="center"/>
              <w:textAlignment w:val="baseline"/>
              <w:rPr>
                <w:rFonts w:hint="default" w:ascii="Times New Roman" w:hAnsi="Times New Roman" w:cs="Times New Roman"/>
                <w:sz w:val="20"/>
                <w:szCs w:val="18"/>
                <w:lang w:val="en-US" w:eastAsia="zh-TW"/>
              </w:rPr>
            </w:pPr>
            <w:r>
              <w:rPr>
                <w:rFonts w:hint="default" w:ascii="Times New Roman" w:hAnsi="Times New Roman" w:cs="Times New Roman"/>
                <w:sz w:val="20"/>
                <w:szCs w:val="18"/>
                <w:lang w:val="en-US" w:eastAsia="zh-TW"/>
              </w:rPr>
              <w:t>0 dB</w:t>
            </w:r>
          </w:p>
        </w:tc>
        <w:tc>
          <w:tcPr>
            <w:tcW w:w="4050" w:type="dxa"/>
            <w:vAlign w:val="center"/>
          </w:tcPr>
          <w:p>
            <w:pPr>
              <w:overflowPunct w:val="0"/>
              <w:autoSpaceDE w:val="0"/>
              <w:autoSpaceDN w:val="0"/>
              <w:adjustRightInd w:val="0"/>
              <w:spacing w:after="180"/>
              <w:jc w:val="center"/>
              <w:textAlignment w:val="baseline"/>
              <w:rPr>
                <w:rFonts w:hint="default" w:ascii="Times New Roman" w:hAnsi="Times New Roman" w:cs="Times New Roman"/>
                <w:sz w:val="20"/>
                <w:szCs w:val="18"/>
                <w:lang w:val="en-US" w:eastAsia="zh-TW"/>
              </w:rPr>
            </w:pPr>
            <w:r>
              <w:rPr>
                <w:rFonts w:hint="default" w:ascii="Times New Roman" w:hAnsi="Times New Roman" w:cs="Times New Roman"/>
                <w:sz w:val="20"/>
                <w:szCs w:val="18"/>
                <w:lang w:val="en-US" w:eastAsia="zh-TW"/>
              </w:rPr>
              <w:t>n1, n18, n24, n70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425" w:type="dxa"/>
            <w:vAlign w:val="center"/>
          </w:tcPr>
          <w:p>
            <w:pPr>
              <w:overflowPunct w:val="0"/>
              <w:autoSpaceDE w:val="0"/>
              <w:autoSpaceDN w:val="0"/>
              <w:adjustRightInd w:val="0"/>
              <w:spacing w:after="180"/>
              <w:jc w:val="center"/>
              <w:textAlignment w:val="baseline"/>
              <w:rPr>
                <w:rFonts w:hint="default" w:ascii="Times New Roman" w:hAnsi="Times New Roman" w:cs="Times New Roman"/>
                <w:sz w:val="20"/>
                <w:szCs w:val="18"/>
                <w:lang w:val="en-US" w:eastAsia="zh-TW"/>
              </w:rPr>
            </w:pPr>
            <w:r>
              <w:rPr>
                <w:rFonts w:hint="default" w:ascii="Times New Roman" w:hAnsi="Times New Roman" w:cs="Times New Roman"/>
                <w:sz w:val="20"/>
                <w:szCs w:val="18"/>
                <w:lang w:val="en-US" w:eastAsia="zh-TW"/>
              </w:rPr>
              <w:t>&gt; -100 dBm and ≤ -99 dBm</w:t>
            </w:r>
          </w:p>
        </w:tc>
        <w:tc>
          <w:tcPr>
            <w:tcW w:w="2610" w:type="dxa"/>
            <w:vAlign w:val="center"/>
          </w:tcPr>
          <w:p>
            <w:pPr>
              <w:overflowPunct w:val="0"/>
              <w:autoSpaceDE w:val="0"/>
              <w:autoSpaceDN w:val="0"/>
              <w:adjustRightInd w:val="0"/>
              <w:spacing w:after="180"/>
              <w:jc w:val="center"/>
              <w:textAlignment w:val="baseline"/>
              <w:rPr>
                <w:rFonts w:hint="default" w:ascii="Times New Roman" w:hAnsi="Times New Roman" w:cs="Times New Roman"/>
                <w:sz w:val="20"/>
                <w:szCs w:val="18"/>
                <w:lang w:val="en-US" w:eastAsia="zh-TW"/>
              </w:rPr>
            </w:pPr>
            <w:r>
              <w:rPr>
                <w:rFonts w:hint="default" w:ascii="Times New Roman" w:hAnsi="Times New Roman" w:cs="Times New Roman"/>
                <w:sz w:val="20"/>
                <w:szCs w:val="18"/>
                <w:lang w:val="en-US" w:eastAsia="zh-TW"/>
              </w:rPr>
              <w:t>0.5 dB</w:t>
            </w:r>
          </w:p>
        </w:tc>
        <w:tc>
          <w:tcPr>
            <w:tcW w:w="4050" w:type="dxa"/>
            <w:vAlign w:val="center"/>
          </w:tcPr>
          <w:p>
            <w:pPr>
              <w:overflowPunct w:val="0"/>
              <w:autoSpaceDE w:val="0"/>
              <w:autoSpaceDN w:val="0"/>
              <w:adjustRightInd w:val="0"/>
              <w:spacing w:after="180"/>
              <w:jc w:val="center"/>
              <w:textAlignment w:val="baseline"/>
              <w:rPr>
                <w:rFonts w:hint="default" w:ascii="Times New Roman" w:hAnsi="Times New Roman" w:cs="Times New Roman"/>
                <w:sz w:val="20"/>
                <w:szCs w:val="18"/>
                <w:lang w:val="en-US" w:eastAsia="zh-TW"/>
              </w:rPr>
            </w:pPr>
            <w:r>
              <w:rPr>
                <w:rFonts w:hint="default" w:ascii="Times New Roman" w:hAnsi="Times New Roman" w:cs="Times New Roman"/>
                <w:sz w:val="20"/>
                <w:szCs w:val="18"/>
                <w:lang w:val="en-US" w:eastAsia="zh-TW"/>
              </w:rPr>
              <w:t>n30, n65, n66, n74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425" w:type="dxa"/>
            <w:vAlign w:val="center"/>
          </w:tcPr>
          <w:p>
            <w:pPr>
              <w:overflowPunct w:val="0"/>
              <w:autoSpaceDE w:val="0"/>
              <w:autoSpaceDN w:val="0"/>
              <w:adjustRightInd w:val="0"/>
              <w:spacing w:after="180"/>
              <w:jc w:val="center"/>
              <w:textAlignment w:val="baseline"/>
              <w:rPr>
                <w:rFonts w:hint="default" w:ascii="Times New Roman" w:hAnsi="Times New Roman" w:cs="Times New Roman"/>
                <w:sz w:val="20"/>
                <w:szCs w:val="18"/>
                <w:lang w:val="en-US" w:eastAsia="zh-TW"/>
              </w:rPr>
            </w:pPr>
            <w:r>
              <w:rPr>
                <w:rFonts w:hint="default" w:ascii="Times New Roman" w:hAnsi="Times New Roman" w:cs="Times New Roman"/>
                <w:sz w:val="20"/>
                <w:szCs w:val="18"/>
                <w:lang w:val="en-US" w:eastAsia="zh-TW"/>
              </w:rPr>
              <w:t>&gt; -99 dBm</w:t>
            </w:r>
          </w:p>
        </w:tc>
        <w:tc>
          <w:tcPr>
            <w:tcW w:w="2610" w:type="dxa"/>
            <w:vAlign w:val="center"/>
          </w:tcPr>
          <w:p>
            <w:pPr>
              <w:overflowPunct w:val="0"/>
              <w:autoSpaceDE w:val="0"/>
              <w:autoSpaceDN w:val="0"/>
              <w:adjustRightInd w:val="0"/>
              <w:spacing w:after="180"/>
              <w:jc w:val="center"/>
              <w:textAlignment w:val="baseline"/>
              <w:rPr>
                <w:rFonts w:hint="default" w:ascii="Times New Roman" w:hAnsi="Times New Roman" w:cs="Times New Roman"/>
                <w:sz w:val="20"/>
                <w:szCs w:val="18"/>
                <w:lang w:val="en-US" w:eastAsia="zh-TW"/>
              </w:rPr>
            </w:pPr>
            <w:r>
              <w:rPr>
                <w:rFonts w:hint="default" w:ascii="Times New Roman" w:hAnsi="Times New Roman" w:cs="Times New Roman"/>
                <w:sz w:val="20"/>
                <w:szCs w:val="18"/>
                <w:lang w:val="en-US" w:eastAsia="zh-TW"/>
              </w:rPr>
              <w:t>0.8 dB</w:t>
            </w:r>
          </w:p>
        </w:tc>
        <w:tc>
          <w:tcPr>
            <w:tcW w:w="4050" w:type="dxa"/>
            <w:vAlign w:val="center"/>
          </w:tcPr>
          <w:p>
            <w:pPr>
              <w:overflowPunct w:val="0"/>
              <w:autoSpaceDE w:val="0"/>
              <w:autoSpaceDN w:val="0"/>
              <w:adjustRightInd w:val="0"/>
              <w:spacing w:after="180"/>
              <w:jc w:val="center"/>
              <w:textAlignment w:val="baseline"/>
              <w:rPr>
                <w:rFonts w:hint="default" w:ascii="Times New Roman" w:hAnsi="Times New Roman" w:cs="Times New Roman"/>
                <w:sz w:val="20"/>
                <w:szCs w:val="18"/>
                <w:lang w:val="en-US" w:eastAsia="zh-TW"/>
              </w:rPr>
            </w:pPr>
            <w:r>
              <w:rPr>
                <w:rFonts w:hint="default" w:ascii="Times New Roman" w:hAnsi="Times New Roman" w:cs="Times New Roman"/>
                <w:sz w:val="20"/>
                <w:szCs w:val="18"/>
                <w:lang w:val="en-US" w:eastAsia="zh-TW"/>
              </w:rPr>
              <w:t>n2, n3, n5, n7, n8, n12, n13, n14, n20, n25, n26, n28, n71, n85</w:t>
            </w:r>
          </w:p>
        </w:tc>
      </w:tr>
    </w:tbl>
    <w:p>
      <w:pPr>
        <w:rPr>
          <w:rFonts w:hint="eastAsia"/>
          <w:sz w:val="20"/>
          <w:szCs w:val="20"/>
          <w:lang w:val="en-US" w:eastAsia="zh-CN"/>
        </w:rPr>
      </w:pPr>
      <w:r>
        <w:rPr>
          <w:rFonts w:hint="eastAsia"/>
          <w:sz w:val="20"/>
          <w:szCs w:val="20"/>
          <w:lang w:val="en-US" w:eastAsia="zh-CN"/>
        </w:rPr>
        <w:t>Based on the above, if there is no RAN4 impact, we can use the following tightening value as starting point:</w:t>
      </w:r>
    </w:p>
    <w:p>
      <w:pPr>
        <w:pStyle w:val="56"/>
        <w:rPr>
          <w:rFonts w:hint="default"/>
          <w:sz w:val="20"/>
          <w:szCs w:val="20"/>
          <w:lang w:val="en-US" w:eastAsia="zh-CN"/>
        </w:rPr>
      </w:pPr>
      <w:r>
        <w:rPr>
          <w:rFonts w:hint="default" w:ascii="Times New Roman" w:hAnsi="Times New Roman" w:cs="Times New Roman"/>
          <w:sz w:val="20"/>
          <w:szCs w:val="20"/>
        </w:rPr>
        <w:t xml:space="preserve">Table </w:t>
      </w:r>
      <w:r>
        <w:rPr>
          <w:rFonts w:hint="default" w:ascii="Times New Roman" w:hAnsi="Times New Roman" w:cs="Times New Roman"/>
          <w:sz w:val="20"/>
          <w:szCs w:val="20"/>
          <w:lang w:val="en-US" w:eastAsia="zh-CN"/>
        </w:rPr>
        <w:t>2.</w:t>
      </w:r>
      <w:r>
        <w:rPr>
          <w:rFonts w:hint="eastAsia" w:ascii="Times New Roman" w:hAnsi="Times New Roman" w:cs="Times New Roman"/>
          <w:sz w:val="20"/>
          <w:szCs w:val="20"/>
          <w:lang w:val="en-US" w:eastAsia="zh-CN"/>
        </w:rPr>
        <w:t>2</w:t>
      </w:r>
      <w:r>
        <w:rPr>
          <w:rFonts w:hint="default" w:ascii="Times New Roman" w:hAnsi="Times New Roman" w:cs="Times New Roman"/>
          <w:sz w:val="20"/>
          <w:szCs w:val="20"/>
        </w:rPr>
        <w:t xml:space="preserve">: </w:t>
      </w:r>
      <w:r>
        <w:rPr>
          <w:rFonts w:hint="eastAsia" w:ascii="Times New Roman" w:hAnsi="Times New Roman" w:cs="Times New Roman"/>
          <w:sz w:val="20"/>
          <w:szCs w:val="20"/>
          <w:lang w:val="en-US" w:eastAsia="zh-CN"/>
        </w:rPr>
        <w:t xml:space="preserve">NTN </w:t>
      </w:r>
      <w:r>
        <w:rPr>
          <w:rFonts w:hint="default" w:ascii="Times New Roman" w:hAnsi="Times New Roman" w:cs="Times New Roman"/>
          <w:sz w:val="20"/>
          <w:szCs w:val="20"/>
        </w:rPr>
        <w:t>HD-FDD 5MHz REFSENS tightening for different NR bands</w:t>
      </w:r>
    </w:p>
    <w:tbl>
      <w:tblPr>
        <w:tblStyle w:val="24"/>
        <w:tblW w:w="90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76"/>
        <w:gridCol w:w="4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425" w:type="dxa"/>
            <w:vAlign w:val="center"/>
          </w:tcPr>
          <w:p>
            <w:pPr>
              <w:overflowPunct w:val="0"/>
              <w:autoSpaceDE w:val="0"/>
              <w:autoSpaceDN w:val="0"/>
              <w:adjustRightInd w:val="0"/>
              <w:spacing w:after="180"/>
              <w:jc w:val="center"/>
              <w:textAlignment w:val="baseline"/>
              <w:rPr>
                <w:rFonts w:hint="default" w:ascii="Times New Roman" w:hAnsi="Times New Roman" w:cs="Times New Roman"/>
                <w:sz w:val="20"/>
                <w:szCs w:val="18"/>
                <w:lang w:val="en-US" w:eastAsia="zh-TW"/>
              </w:rPr>
            </w:pPr>
            <w:r>
              <w:rPr>
                <w:rFonts w:hint="default" w:ascii="Times New Roman" w:hAnsi="Times New Roman" w:cs="Times New Roman"/>
                <w:sz w:val="20"/>
                <w:szCs w:val="18"/>
                <w:lang w:val="en-US" w:eastAsia="zh-TW"/>
              </w:rPr>
              <w:t>Bands</w:t>
            </w:r>
          </w:p>
        </w:tc>
        <w:tc>
          <w:tcPr>
            <w:tcW w:w="2610" w:type="dxa"/>
            <w:vAlign w:val="center"/>
          </w:tcPr>
          <w:p>
            <w:pPr>
              <w:overflowPunct w:val="0"/>
              <w:autoSpaceDE w:val="0"/>
              <w:autoSpaceDN w:val="0"/>
              <w:adjustRightInd w:val="0"/>
              <w:spacing w:after="180"/>
              <w:jc w:val="center"/>
              <w:textAlignment w:val="baseline"/>
              <w:rPr>
                <w:rFonts w:hint="default" w:ascii="Times New Roman" w:hAnsi="Times New Roman" w:cs="Times New Roman"/>
                <w:sz w:val="20"/>
                <w:szCs w:val="18"/>
                <w:lang w:val="en-US" w:eastAsia="zh-TW"/>
              </w:rPr>
            </w:pPr>
            <w:r>
              <w:rPr>
                <w:rFonts w:hint="default" w:ascii="Times New Roman" w:hAnsi="Times New Roman" w:cs="Times New Roman"/>
                <w:sz w:val="20"/>
                <w:szCs w:val="18"/>
                <w:lang w:val="en-US" w:eastAsia="zh-TW"/>
              </w:rPr>
              <w:t>HD-FDD REFSENS Tightening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425" w:type="dxa"/>
            <w:vAlign w:val="center"/>
          </w:tcPr>
          <w:p>
            <w:pPr>
              <w:overflowPunct w:val="0"/>
              <w:autoSpaceDE w:val="0"/>
              <w:autoSpaceDN w:val="0"/>
              <w:adjustRightInd w:val="0"/>
              <w:spacing w:after="180"/>
              <w:jc w:val="center"/>
              <w:textAlignment w:val="baseline"/>
              <w:rPr>
                <w:rFonts w:hint="default" w:ascii="Times New Roman" w:hAnsi="Times New Roman" w:eastAsia="宋体" w:cs="Times New Roman"/>
                <w:sz w:val="20"/>
                <w:szCs w:val="18"/>
                <w:lang w:val="en-US" w:eastAsia="zh-CN"/>
              </w:rPr>
            </w:pPr>
            <w:r>
              <w:rPr>
                <w:rFonts w:hint="default" w:ascii="Times New Roman" w:hAnsi="Times New Roman" w:cs="Times New Roman"/>
                <w:sz w:val="20"/>
                <w:szCs w:val="18"/>
                <w:lang w:val="en-US" w:eastAsia="zh-CN"/>
              </w:rPr>
              <w:t>n256</w:t>
            </w:r>
          </w:p>
        </w:tc>
        <w:tc>
          <w:tcPr>
            <w:tcW w:w="2610" w:type="dxa"/>
            <w:vAlign w:val="center"/>
          </w:tcPr>
          <w:p>
            <w:pPr>
              <w:overflowPunct w:val="0"/>
              <w:autoSpaceDE w:val="0"/>
              <w:autoSpaceDN w:val="0"/>
              <w:adjustRightInd w:val="0"/>
              <w:spacing w:after="180"/>
              <w:jc w:val="center"/>
              <w:textAlignment w:val="baseline"/>
              <w:rPr>
                <w:rFonts w:hint="default" w:ascii="Times New Roman" w:hAnsi="Times New Roman" w:cs="Times New Roman"/>
                <w:sz w:val="20"/>
                <w:szCs w:val="18"/>
                <w:lang w:val="en-US" w:eastAsia="zh-TW"/>
              </w:rPr>
            </w:pPr>
            <w:r>
              <w:rPr>
                <w:rFonts w:hint="default" w:ascii="Times New Roman" w:hAnsi="Times New Roman" w:cs="Times New Roman"/>
                <w:sz w:val="20"/>
                <w:szCs w:val="18"/>
                <w:lang w:val="en-US" w:eastAsia="zh-CN"/>
              </w:rPr>
              <w:t>[</w:t>
            </w:r>
            <w:r>
              <w:rPr>
                <w:rFonts w:hint="default" w:ascii="Times New Roman" w:hAnsi="Times New Roman" w:cs="Times New Roman"/>
                <w:sz w:val="20"/>
                <w:szCs w:val="18"/>
                <w:lang w:val="en-US" w:eastAsia="zh-TW"/>
              </w:rPr>
              <w:t>0</w:t>
            </w:r>
            <w:r>
              <w:rPr>
                <w:rFonts w:hint="default" w:ascii="Times New Roman" w:hAnsi="Times New Roman" w:cs="Times New Roman"/>
                <w:sz w:val="20"/>
                <w:szCs w:val="18"/>
                <w:lang w:val="en-US" w:eastAsia="zh-CN"/>
              </w:rPr>
              <w:t>.5]</w:t>
            </w:r>
            <w:r>
              <w:rPr>
                <w:rFonts w:hint="default" w:ascii="Times New Roman" w:hAnsi="Times New Roman" w:cs="Times New Roman"/>
                <w:sz w:val="20"/>
                <w:szCs w:val="18"/>
                <w:lang w:val="en-US" w:eastAsia="zh-TW"/>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425" w:type="dxa"/>
            <w:vAlign w:val="center"/>
          </w:tcPr>
          <w:p>
            <w:pPr>
              <w:overflowPunct w:val="0"/>
              <w:autoSpaceDE w:val="0"/>
              <w:autoSpaceDN w:val="0"/>
              <w:adjustRightInd w:val="0"/>
              <w:spacing w:after="180"/>
              <w:jc w:val="center"/>
              <w:textAlignment w:val="baseline"/>
              <w:rPr>
                <w:rFonts w:hint="default" w:ascii="Times New Roman" w:hAnsi="Times New Roman" w:eastAsia="宋体" w:cs="Times New Roman"/>
                <w:sz w:val="20"/>
                <w:szCs w:val="18"/>
                <w:lang w:val="en-US" w:eastAsia="zh-CN"/>
              </w:rPr>
            </w:pPr>
            <w:r>
              <w:rPr>
                <w:rFonts w:hint="default" w:ascii="Times New Roman" w:hAnsi="Times New Roman" w:cs="Times New Roman"/>
                <w:sz w:val="20"/>
                <w:szCs w:val="18"/>
                <w:lang w:val="en-US" w:eastAsia="zh-CN"/>
              </w:rPr>
              <w:t>n255</w:t>
            </w:r>
          </w:p>
        </w:tc>
        <w:tc>
          <w:tcPr>
            <w:tcW w:w="2610" w:type="dxa"/>
            <w:vAlign w:val="center"/>
          </w:tcPr>
          <w:p>
            <w:pPr>
              <w:overflowPunct w:val="0"/>
              <w:autoSpaceDE w:val="0"/>
              <w:autoSpaceDN w:val="0"/>
              <w:adjustRightInd w:val="0"/>
              <w:spacing w:after="180"/>
              <w:jc w:val="center"/>
              <w:textAlignment w:val="baseline"/>
              <w:rPr>
                <w:rFonts w:hint="default" w:ascii="Times New Roman" w:hAnsi="Times New Roman" w:cs="Times New Roman"/>
                <w:sz w:val="20"/>
                <w:szCs w:val="18"/>
                <w:lang w:val="en-US" w:eastAsia="zh-TW"/>
              </w:rPr>
            </w:pPr>
            <w:r>
              <w:rPr>
                <w:rFonts w:hint="default" w:ascii="Times New Roman" w:hAnsi="Times New Roman" w:cs="Times New Roman"/>
                <w:sz w:val="20"/>
                <w:szCs w:val="18"/>
                <w:lang w:val="en-US" w:eastAsia="zh-CN"/>
              </w:rPr>
              <w:t>[</w:t>
            </w:r>
            <w:r>
              <w:rPr>
                <w:rFonts w:hint="default" w:ascii="Times New Roman" w:hAnsi="Times New Roman" w:cs="Times New Roman"/>
                <w:sz w:val="20"/>
                <w:szCs w:val="18"/>
                <w:lang w:val="en-US" w:eastAsia="zh-TW"/>
              </w:rPr>
              <w:t>0</w:t>
            </w:r>
            <w:r>
              <w:rPr>
                <w:rFonts w:hint="default" w:ascii="Times New Roman" w:hAnsi="Times New Roman" w:cs="Times New Roman"/>
                <w:sz w:val="20"/>
                <w:szCs w:val="18"/>
                <w:lang w:val="en-US" w:eastAsia="zh-CN"/>
              </w:rPr>
              <w:t>]</w:t>
            </w:r>
            <w:r>
              <w:rPr>
                <w:rFonts w:hint="default" w:ascii="Times New Roman" w:hAnsi="Times New Roman" w:cs="Times New Roman"/>
                <w:sz w:val="20"/>
                <w:szCs w:val="18"/>
                <w:lang w:val="en-US" w:eastAsia="zh-TW"/>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425" w:type="dxa"/>
            <w:vAlign w:val="center"/>
          </w:tcPr>
          <w:p>
            <w:pPr>
              <w:overflowPunct w:val="0"/>
              <w:autoSpaceDE w:val="0"/>
              <w:autoSpaceDN w:val="0"/>
              <w:adjustRightInd w:val="0"/>
              <w:spacing w:after="180"/>
              <w:jc w:val="center"/>
              <w:textAlignment w:val="baseline"/>
              <w:rPr>
                <w:rFonts w:hint="default" w:ascii="Times New Roman" w:hAnsi="Times New Roman" w:eastAsia="宋体" w:cs="Times New Roman"/>
                <w:sz w:val="20"/>
                <w:szCs w:val="18"/>
                <w:lang w:val="en-US" w:eastAsia="zh-CN"/>
              </w:rPr>
            </w:pPr>
            <w:r>
              <w:rPr>
                <w:rFonts w:hint="default" w:ascii="Times New Roman" w:hAnsi="Times New Roman" w:cs="Times New Roman"/>
                <w:sz w:val="20"/>
                <w:szCs w:val="18"/>
                <w:lang w:val="en-US" w:eastAsia="zh-TW"/>
              </w:rPr>
              <w:t>n2</w:t>
            </w:r>
            <w:r>
              <w:rPr>
                <w:rFonts w:hint="default" w:ascii="Times New Roman" w:hAnsi="Times New Roman" w:cs="Times New Roman"/>
                <w:sz w:val="20"/>
                <w:szCs w:val="18"/>
                <w:lang w:val="en-US" w:eastAsia="zh-CN"/>
              </w:rPr>
              <w:t>54</w:t>
            </w:r>
          </w:p>
        </w:tc>
        <w:tc>
          <w:tcPr>
            <w:tcW w:w="2610" w:type="dxa"/>
            <w:vAlign w:val="center"/>
          </w:tcPr>
          <w:p>
            <w:pPr>
              <w:overflowPunct w:val="0"/>
              <w:autoSpaceDE w:val="0"/>
              <w:autoSpaceDN w:val="0"/>
              <w:adjustRightInd w:val="0"/>
              <w:spacing w:after="180"/>
              <w:jc w:val="center"/>
              <w:textAlignment w:val="baseline"/>
              <w:rPr>
                <w:rFonts w:hint="default" w:ascii="Times New Roman" w:hAnsi="Times New Roman" w:cs="Times New Roman"/>
                <w:sz w:val="20"/>
                <w:szCs w:val="18"/>
                <w:lang w:val="en-US" w:eastAsia="zh-TW"/>
              </w:rPr>
            </w:pPr>
            <w:r>
              <w:rPr>
                <w:rFonts w:hint="default" w:ascii="Times New Roman" w:hAnsi="Times New Roman" w:cs="Times New Roman"/>
                <w:sz w:val="20"/>
                <w:szCs w:val="18"/>
                <w:lang w:val="en-US" w:eastAsia="zh-CN"/>
              </w:rPr>
              <w:t>[</w:t>
            </w:r>
            <w:r>
              <w:rPr>
                <w:rFonts w:hint="default" w:ascii="Times New Roman" w:hAnsi="Times New Roman" w:cs="Times New Roman"/>
                <w:sz w:val="20"/>
                <w:szCs w:val="18"/>
                <w:lang w:val="en-US" w:eastAsia="zh-TW"/>
              </w:rPr>
              <w:t>0.</w:t>
            </w:r>
            <w:r>
              <w:rPr>
                <w:rFonts w:hint="default" w:ascii="Times New Roman" w:hAnsi="Times New Roman" w:cs="Times New Roman"/>
                <w:sz w:val="20"/>
                <w:szCs w:val="18"/>
                <w:lang w:val="en-US" w:eastAsia="zh-CN"/>
              </w:rPr>
              <w:t>5]</w:t>
            </w:r>
            <w:r>
              <w:rPr>
                <w:rFonts w:hint="default" w:ascii="Times New Roman" w:hAnsi="Times New Roman" w:cs="Times New Roman"/>
                <w:sz w:val="20"/>
                <w:szCs w:val="18"/>
                <w:lang w:val="en-US" w:eastAsia="zh-TW"/>
              </w:rPr>
              <w:t xml:space="preserve"> dB</w:t>
            </w:r>
          </w:p>
        </w:tc>
      </w:tr>
    </w:tbl>
    <w:p>
      <w:pPr>
        <w:rPr>
          <w:rFonts w:hint="eastAsia"/>
          <w:b/>
          <w:bCs/>
          <w:i/>
          <w:iCs/>
          <w:sz w:val="20"/>
          <w:szCs w:val="20"/>
          <w:lang w:val="en-US" w:eastAsia="zh-CN"/>
        </w:rPr>
      </w:pPr>
      <w:r>
        <w:rPr>
          <w:rFonts w:hint="eastAsia"/>
          <w:b/>
          <w:bCs/>
          <w:i/>
          <w:iCs/>
          <w:sz w:val="20"/>
          <w:szCs w:val="20"/>
          <w:lang w:val="en-US" w:eastAsia="zh-CN"/>
        </w:rPr>
        <w:t>Proposal 2:</w:t>
      </w:r>
      <w:bookmarkStart w:id="10" w:name="OLE_LINK66"/>
      <w:bookmarkStart w:id="11" w:name="OLE_LINK50"/>
      <w:bookmarkStart w:id="12" w:name="OLE_LINK23"/>
      <w:r>
        <w:rPr>
          <w:rFonts w:hint="eastAsia"/>
          <w:b/>
          <w:bCs/>
          <w:i/>
          <w:iCs/>
          <w:sz w:val="20"/>
          <w:szCs w:val="20"/>
          <w:lang w:val="en-US" w:eastAsia="zh-CN"/>
        </w:rPr>
        <w:t xml:space="preserve"> After feasibility assessment from RAN1, if there is no RAN4 impact, we can use the tightening value in Table 2.2 as starting point.</w:t>
      </w:r>
    </w:p>
    <w:p>
      <w:pPr>
        <w:pStyle w:val="3"/>
        <w:numPr>
          <w:ilvl w:val="1"/>
          <w:numId w:val="0"/>
        </w:numPr>
        <w:bidi w:val="0"/>
        <w:ind w:leftChars="0" w:right="0" w:rightChars="0"/>
        <w:rPr>
          <w:rFonts w:hint="default"/>
          <w:lang w:val="en-US" w:eastAsia="zh-CN"/>
        </w:rPr>
      </w:pPr>
      <w:r>
        <w:rPr>
          <w:rFonts w:hint="eastAsia"/>
          <w:lang w:val="en-US" w:eastAsia="zh-CN"/>
        </w:rPr>
        <w:t>2.2 Frequency error</w:t>
      </w:r>
    </w:p>
    <w:p>
      <w:pPr>
        <w:rPr>
          <w:rFonts w:hint="eastAsia"/>
          <w:sz w:val="20"/>
          <w:szCs w:val="20"/>
          <w:lang w:val="en-US" w:eastAsia="zh-CN"/>
        </w:rPr>
      </w:pPr>
      <w:r>
        <w:rPr>
          <w:rFonts w:hint="eastAsia"/>
          <w:sz w:val="20"/>
          <w:szCs w:val="20"/>
          <w:lang w:val="en-US" w:eastAsia="zh-CN"/>
        </w:rPr>
        <w:t>In current specification, e.g. TS 38.101-5, TS 38.101-1, it states that:</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4"/>
              <w:numPr>
                <w:ilvl w:val="2"/>
                <w:numId w:val="0"/>
              </w:numPr>
              <w:overflowPunct w:val="0"/>
              <w:autoSpaceDE w:val="0"/>
              <w:autoSpaceDN w:val="0"/>
              <w:adjustRightInd w:val="0"/>
              <w:ind w:leftChars="0" w:right="0" w:rightChars="0"/>
              <w:textAlignment w:val="baseline"/>
              <w:rPr>
                <w:rFonts w:hint="default" w:eastAsia="宋体"/>
                <w:lang w:val="en-US" w:eastAsia="zh-CN"/>
              </w:rPr>
            </w:pPr>
            <w:bookmarkStart w:id="13" w:name="_Toc137372718"/>
            <w:bookmarkStart w:id="14" w:name="_Toc104206679"/>
            <w:bookmarkStart w:id="15" w:name="_Toc97562294"/>
            <w:bookmarkStart w:id="16" w:name="_Toc124256628"/>
            <w:bookmarkStart w:id="17" w:name="_Toc104503639"/>
            <w:bookmarkStart w:id="18" w:name="_Toc145690607"/>
            <w:bookmarkStart w:id="19" w:name="_Toc161753865"/>
            <w:bookmarkStart w:id="20" w:name="_Toc131734941"/>
            <w:bookmarkStart w:id="21" w:name="_Toc104122521"/>
            <w:bookmarkStart w:id="22" w:name="_Toc161754486"/>
            <w:bookmarkStart w:id="23" w:name="_Toc106127570"/>
            <w:bookmarkStart w:id="24" w:name="_Toc138885104"/>
            <w:bookmarkStart w:id="25" w:name="_Toc123057935"/>
            <w:bookmarkStart w:id="26" w:name="_Toc155382158"/>
            <w:bookmarkStart w:id="27" w:name="_Toc104205472"/>
            <w:bookmarkStart w:id="28" w:name="_Toc163202059"/>
            <w:r>
              <w:rPr>
                <w:rFonts w:hint="eastAsia" w:eastAsia="宋体"/>
                <w:lang w:val="en-US" w:eastAsia="zh-CN"/>
              </w:rPr>
              <w:t>TS 38.101-5</w:t>
            </w:r>
          </w:p>
          <w:p>
            <w:pPr>
              <w:pStyle w:val="4"/>
              <w:numPr>
                <w:ilvl w:val="2"/>
                <w:numId w:val="0"/>
              </w:numPr>
              <w:overflowPunct w:val="0"/>
              <w:autoSpaceDE w:val="0"/>
              <w:autoSpaceDN w:val="0"/>
              <w:adjustRightInd w:val="0"/>
              <w:ind w:leftChars="0" w:right="0" w:rightChars="0"/>
              <w:textAlignment w:val="baseline"/>
            </w:pPr>
            <w:r>
              <w:t>6.4.1</w:t>
            </w:r>
            <w:r>
              <w:tab/>
            </w:r>
            <w:r>
              <w:t>Frequency error</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pPr>
              <w:overflowPunct w:val="0"/>
              <w:autoSpaceDE w:val="0"/>
              <w:autoSpaceDN w:val="0"/>
              <w:adjustRightInd w:val="0"/>
              <w:spacing w:after="180"/>
              <w:textAlignment w:val="baseline"/>
              <w:rPr>
                <w:sz w:val="21"/>
                <w:szCs w:val="21"/>
              </w:rPr>
            </w:pPr>
            <w:r>
              <w:rPr>
                <w:sz w:val="21"/>
                <w:szCs w:val="21"/>
              </w:rPr>
              <w:t xml:space="preserve">The NTN satellite UE basic measurement interval of modulated carrier frequency is 1 UL slot. The NTN satellite UE pre-compensates the uplink modulated carrier frequency by the estimated Doppler shift according to </w:t>
            </w:r>
            <w:r>
              <w:t xml:space="preserve">3GPP </w:t>
            </w:r>
            <w:r>
              <w:rPr>
                <w:sz w:val="21"/>
                <w:szCs w:val="21"/>
              </w:rPr>
              <w:t xml:space="preserve">TS 38.300 [9] clause 16.14.2. The mean value of basic measurements of NTN UE modulated carrier frequency shall be accurate to within ± 0.1 PPM observed over a period of 1 ms of cumulated measurement intervals compared to ideally pre-compensated reference uplink carrier frequency. </w:t>
            </w:r>
          </w:p>
          <w:p>
            <w:pPr>
              <w:pStyle w:val="63"/>
              <w:overflowPunct w:val="0"/>
              <w:autoSpaceDE w:val="0"/>
              <w:autoSpaceDN w:val="0"/>
              <w:adjustRightInd w:val="0"/>
              <w:spacing w:after="180"/>
              <w:textAlignment w:val="baseline"/>
            </w:pPr>
            <w:r>
              <w:t>[NOTE:</w:t>
            </w:r>
            <w:r>
              <w:tab/>
            </w:r>
            <w:r>
              <w:t>The ideally pre-compensated reference uplink carrier frequency consists of the UL carrier frequency signalled to the UE by SAN and UL pre-compensated Doppler frequency shift.]</w:t>
            </w:r>
          </w:p>
          <w:p>
            <w:pPr>
              <w:pStyle w:val="63"/>
              <w:overflowPunct w:val="0"/>
              <w:autoSpaceDE w:val="0"/>
              <w:autoSpaceDN w:val="0"/>
              <w:adjustRightInd w:val="0"/>
              <w:spacing w:after="180"/>
              <w:textAlignment w:val="baseline"/>
              <w:rPr>
                <w:rFonts w:hint="default"/>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4"/>
              <w:numPr>
                <w:ilvl w:val="2"/>
                <w:numId w:val="0"/>
              </w:numPr>
              <w:overflowPunct w:val="0"/>
              <w:autoSpaceDE w:val="0"/>
              <w:autoSpaceDN w:val="0"/>
              <w:adjustRightInd w:val="0"/>
              <w:ind w:leftChars="0" w:right="0" w:rightChars="0"/>
              <w:textAlignment w:val="baseline"/>
              <w:rPr>
                <w:rFonts w:hint="default" w:eastAsia="宋体"/>
                <w:lang w:val="en-US" w:eastAsia="zh-CN"/>
              </w:rPr>
            </w:pPr>
            <w:r>
              <w:rPr>
                <w:rFonts w:hint="eastAsia" w:eastAsia="宋体"/>
                <w:lang w:val="en-US" w:eastAsia="zh-CN"/>
              </w:rPr>
              <w:t>TS 38.101-1</w:t>
            </w:r>
          </w:p>
          <w:p>
            <w:pPr>
              <w:pStyle w:val="4"/>
              <w:numPr>
                <w:ilvl w:val="2"/>
                <w:numId w:val="0"/>
              </w:numPr>
              <w:overflowPunct w:val="0"/>
              <w:autoSpaceDE w:val="0"/>
              <w:autoSpaceDN w:val="0"/>
              <w:adjustRightInd w:val="0"/>
              <w:ind w:leftChars="0" w:right="0" w:rightChars="0"/>
              <w:textAlignment w:val="baseline"/>
            </w:pPr>
            <w:bookmarkStart w:id="29" w:name="_Toc29801813"/>
            <w:bookmarkStart w:id="30" w:name="_Toc37251370"/>
            <w:bookmarkStart w:id="31" w:name="_Toc76509286"/>
            <w:bookmarkStart w:id="32" w:name="_Toc29802862"/>
            <w:bookmarkStart w:id="33" w:name="_Toc69084254"/>
            <w:bookmarkStart w:id="34" w:name="_Toc21344327"/>
            <w:bookmarkStart w:id="35" w:name="_Toc75467264"/>
            <w:bookmarkStart w:id="36" w:name="_Toc68230841"/>
            <w:bookmarkStart w:id="37" w:name="_Toc61367511"/>
            <w:bookmarkStart w:id="38" w:name="_Toc84405116"/>
            <w:bookmarkStart w:id="39" w:name="_Toc76718276"/>
            <w:bookmarkStart w:id="40" w:name="_Toc45888234"/>
            <w:bookmarkStart w:id="41" w:name="_Toc36107604"/>
            <w:bookmarkStart w:id="42" w:name="_Toc45888833"/>
            <w:bookmarkStart w:id="43" w:name="_Toc61372894"/>
            <w:bookmarkStart w:id="44" w:name="_Toc83580607"/>
            <w:bookmarkStart w:id="45" w:name="_Toc84413725"/>
            <w:bookmarkStart w:id="46" w:name="_Toc29802237"/>
            <w:r>
              <w:t>6.4.1</w:t>
            </w:r>
            <w:r>
              <w:tab/>
            </w:r>
            <w:r>
              <w:t>Frequency error</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pPr>
              <w:overflowPunct w:val="0"/>
              <w:autoSpaceDE w:val="0"/>
              <w:autoSpaceDN w:val="0"/>
              <w:adjustRightInd w:val="0"/>
              <w:spacing w:after="180"/>
              <w:textAlignment w:val="baseline"/>
            </w:pPr>
            <w:r>
              <w:t>The UE basic measurement interval of modulated carrier frequency is 1 UL slot. The mean value of basic measurements of UE modulated carrier frequency shall be accurate to within ± 0.1 PPM observed over a period of 1 ms of cumulated measurement intervals compared to the carrier frequency received from the NR Node B.</w:t>
            </w:r>
          </w:p>
          <w:p>
            <w:pPr>
              <w:pStyle w:val="3"/>
              <w:numPr>
                <w:ilvl w:val="1"/>
                <w:numId w:val="0"/>
              </w:numPr>
              <w:overflowPunct w:val="0"/>
              <w:autoSpaceDE w:val="0"/>
              <w:autoSpaceDN w:val="0"/>
              <w:adjustRightInd w:val="0"/>
              <w:ind w:leftChars="0" w:right="0" w:rightChars="0"/>
              <w:textAlignment w:val="baseline"/>
            </w:pPr>
            <w:r>
              <w:t>6.4I</w:t>
            </w:r>
            <w:r>
              <w:tab/>
            </w:r>
            <w:r>
              <w:t>(Reserved)</w:t>
            </w:r>
          </w:p>
          <w:p>
            <w:pPr>
              <w:pStyle w:val="63"/>
              <w:overflowPunct w:val="0"/>
              <w:autoSpaceDE w:val="0"/>
              <w:autoSpaceDN w:val="0"/>
              <w:adjustRightInd w:val="0"/>
              <w:spacing w:after="180"/>
              <w:ind w:left="0" w:leftChars="0" w:firstLine="0" w:firstLineChars="0"/>
              <w:textAlignment w:val="baseline"/>
              <w:rPr>
                <w:rFonts w:hint="default"/>
                <w:lang w:val="en-US" w:eastAsia="zh-CN"/>
              </w:rPr>
            </w:pPr>
          </w:p>
        </w:tc>
      </w:tr>
    </w:tbl>
    <w:p>
      <w:pPr>
        <w:rPr>
          <w:rFonts w:hint="eastAsia"/>
          <w:sz w:val="20"/>
          <w:szCs w:val="20"/>
          <w:lang w:val="en-US" w:eastAsia="zh-CN"/>
        </w:rPr>
      </w:pPr>
      <w:r>
        <w:rPr>
          <w:rFonts w:hint="eastAsia"/>
          <w:sz w:val="20"/>
          <w:szCs w:val="20"/>
          <w:lang w:val="en-US" w:eastAsia="zh-CN"/>
        </w:rPr>
        <w:t>For NTN, the small Doppler shift used as a reference for demodulation is only achievable if there is pre-compensation at the transmitter end, since the total doppler variation may be significantly higher. However, no frequency error requirement is defined for (e)RedCap UE. In the objective, it notes that GNSS (Global Navigation Satellite Systems) capabilities and simultaneous GNSS and NR-NTN operation is supported in RedCap/eRedCap UE. Hence, it is necessary to define frequency error requirement for (e)RedCap UEs with NR NTN operating in FR1-NTN bands.</w:t>
      </w:r>
    </w:p>
    <w:p>
      <w:pPr>
        <w:rPr>
          <w:rFonts w:hint="default"/>
          <w:sz w:val="20"/>
          <w:szCs w:val="20"/>
          <w:lang w:val="en-US" w:eastAsia="zh-CN"/>
        </w:rPr>
      </w:pPr>
      <w:r>
        <w:rPr>
          <w:rFonts w:hint="eastAsia"/>
          <w:b/>
          <w:bCs/>
          <w:i/>
          <w:iCs/>
          <w:sz w:val="20"/>
          <w:szCs w:val="20"/>
          <w:lang w:val="en-US" w:eastAsia="zh-CN"/>
        </w:rPr>
        <w:t>Proposal 3: It is necessary to define frequency error requirement for (e)RedCap UEs with NR NTN operating in FR1-NTN bands.</w:t>
      </w:r>
    </w:p>
    <w:bookmarkEnd w:id="10"/>
    <w:bookmarkEnd w:id="11"/>
    <w:bookmarkEnd w:id="12"/>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3 Conclusion</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r>
        <w:rPr>
          <w:rFonts w:hint="eastAsia" w:ascii="Times New Roman" w:hAnsi="Times New Roman" w:eastAsia="宋体" w:cs="Times New Roman"/>
          <w:b w:val="0"/>
          <w:bCs w:val="0"/>
          <w:kern w:val="0"/>
          <w:sz w:val="20"/>
          <w:szCs w:val="20"/>
          <w:highlight w:val="none"/>
          <w:lang w:val="en-US" w:eastAsia="zh-CN" w:bidi="ar-SA"/>
        </w:rPr>
        <w:t>In this contribution, we shared some views on UE RF requirements for NR NTN phase3 and the</w:t>
      </w:r>
      <w:r>
        <w:rPr>
          <w:rFonts w:hint="eastAsia" w:cs="Times New Roman"/>
          <w:b w:val="0"/>
          <w:bCs w:val="0"/>
          <w:kern w:val="0"/>
          <w:sz w:val="20"/>
          <w:szCs w:val="20"/>
          <w:highlight w:val="none"/>
          <w:lang w:val="en-US" w:eastAsia="zh-CN" w:bidi="ar-SA"/>
        </w:rPr>
        <w:t xml:space="preserve"> </w:t>
      </w:r>
      <w:r>
        <w:rPr>
          <w:rFonts w:hint="eastAsia" w:ascii="Times New Roman" w:hAnsi="Times New Roman" w:eastAsia="宋体" w:cs="Times New Roman"/>
          <w:b w:val="0"/>
          <w:bCs w:val="0"/>
          <w:kern w:val="0"/>
          <w:sz w:val="20"/>
          <w:szCs w:val="20"/>
          <w:highlight w:val="none"/>
          <w:lang w:val="en-US" w:eastAsia="zh-CN" w:bidi="ar-SA"/>
        </w:rPr>
        <w:t>proposal</w:t>
      </w:r>
      <w:r>
        <w:rPr>
          <w:rFonts w:hint="eastAsia" w:cs="Times New Roman"/>
          <w:b w:val="0"/>
          <w:bCs w:val="0"/>
          <w:kern w:val="0"/>
          <w:sz w:val="20"/>
          <w:szCs w:val="20"/>
          <w:highlight w:val="none"/>
          <w:lang w:val="en-US" w:eastAsia="zh-CN" w:bidi="ar-SA"/>
        </w:rPr>
        <w:t>s are</w:t>
      </w:r>
      <w:r>
        <w:rPr>
          <w:rFonts w:hint="eastAsia" w:ascii="Times New Roman" w:hAnsi="Times New Roman" w:eastAsia="宋体" w:cs="Times New Roman"/>
          <w:b w:val="0"/>
          <w:bCs w:val="0"/>
          <w:kern w:val="0"/>
          <w:sz w:val="20"/>
          <w:szCs w:val="20"/>
          <w:highlight w:val="none"/>
          <w:lang w:val="en-US" w:eastAsia="zh-CN" w:bidi="ar-SA"/>
        </w:rPr>
        <w:t xml:space="preserve"> made as follow</w:t>
      </w:r>
      <w:r>
        <w:rPr>
          <w:rFonts w:hint="eastAsia" w:cs="Times New Roman"/>
          <w:b w:val="0"/>
          <w:bCs w:val="0"/>
          <w:kern w:val="0"/>
          <w:sz w:val="20"/>
          <w:szCs w:val="20"/>
          <w:highlight w:val="none"/>
          <w:lang w:val="en-US" w:eastAsia="zh-CN" w:bidi="ar-SA"/>
        </w:rPr>
        <w:t>s</w:t>
      </w:r>
      <w:r>
        <w:rPr>
          <w:rFonts w:hint="eastAsia" w:ascii="Times New Roman" w:hAnsi="Times New Roman" w:eastAsia="宋体" w:cs="Times New Roman"/>
          <w:b w:val="0"/>
          <w:bCs w:val="0"/>
          <w:kern w:val="0"/>
          <w:sz w:val="20"/>
          <w:szCs w:val="20"/>
          <w:highlight w:val="none"/>
          <w:lang w:val="en-US" w:eastAsia="zh-CN" w:bidi="ar-SA"/>
        </w:rPr>
        <w:t>:</w:t>
      </w:r>
    </w:p>
    <w:p>
      <w:pPr>
        <w:rPr>
          <w:rFonts w:hint="default"/>
          <w:sz w:val="20"/>
          <w:szCs w:val="20"/>
          <w:lang w:val="en-US" w:eastAsia="zh-CN"/>
        </w:rPr>
      </w:pPr>
      <w:r>
        <w:rPr>
          <w:rFonts w:hint="eastAsia"/>
          <w:b/>
          <w:bCs/>
          <w:i/>
          <w:iCs/>
          <w:sz w:val="20"/>
          <w:szCs w:val="20"/>
          <w:lang w:val="en-US" w:eastAsia="zh-CN"/>
        </w:rPr>
        <w:t>Proposal 1: It is better to wait for RAN1 outcome before defining RF requirements for NTN RedCap with HD-FDD.</w:t>
      </w:r>
    </w:p>
    <w:p>
      <w:pPr>
        <w:rPr>
          <w:rFonts w:hint="default"/>
          <w:b/>
          <w:bCs/>
          <w:i/>
          <w:iCs/>
          <w:sz w:val="20"/>
          <w:szCs w:val="20"/>
          <w:lang w:val="en-US" w:eastAsia="zh-CN"/>
        </w:rPr>
      </w:pPr>
      <w:r>
        <w:rPr>
          <w:rFonts w:hint="eastAsia"/>
          <w:b/>
          <w:bCs/>
          <w:i/>
          <w:iCs/>
          <w:sz w:val="20"/>
          <w:szCs w:val="20"/>
          <w:lang w:val="en-US" w:eastAsia="zh-CN"/>
        </w:rPr>
        <w:t>Proposal 2: After feasibility assessment from RAN1, if there is no RAN4 impact, we can use the tightening value in Table 2.2 as starting point.</w:t>
      </w:r>
    </w:p>
    <w:p>
      <w:pPr>
        <w:rPr>
          <w:rFonts w:hint="default"/>
          <w:sz w:val="20"/>
          <w:szCs w:val="20"/>
          <w:lang w:val="en-US" w:eastAsia="zh-CN"/>
        </w:rPr>
      </w:pPr>
      <w:r>
        <w:rPr>
          <w:rFonts w:hint="eastAsia"/>
          <w:b/>
          <w:bCs/>
          <w:i/>
          <w:iCs/>
          <w:sz w:val="20"/>
          <w:szCs w:val="20"/>
          <w:lang w:val="en-US" w:eastAsia="zh-CN"/>
        </w:rPr>
        <w:t>Proposal 3: It is necessary to define frequency error requirement for (e)RedCap UEs with NR NTN operating in FR1-NTN bands.</w:t>
      </w:r>
    </w:p>
    <w:p>
      <w:pPr>
        <w:rPr>
          <w:rFonts w:hint="default" w:eastAsia="MS Mincho"/>
          <w:lang w:val="en-US" w:eastAsia="zh-CN"/>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4</w:t>
      </w:r>
      <w:r>
        <w:rPr>
          <w:rFonts w:hint="eastAsia"/>
          <w:b/>
          <w:kern w:val="0"/>
          <w:sz w:val="28"/>
          <w:szCs w:val="28"/>
          <w:highlight w:val="none"/>
          <w:lang w:val="en-US" w:eastAsia="zh-CN"/>
        </w:rPr>
        <w:t xml:space="preserve"> </w:t>
      </w:r>
      <w:r>
        <w:rPr>
          <w:b/>
          <w:kern w:val="0"/>
          <w:sz w:val="28"/>
          <w:szCs w:val="28"/>
          <w:highlight w:val="none"/>
        </w:rPr>
        <w:t>Reference</w:t>
      </w:r>
    </w:p>
    <w:p>
      <w:pPr>
        <w:keepNext/>
        <w:keepLines/>
        <w:pageBreakBefore w:val="0"/>
        <w:widowControl/>
        <w:numPr>
          <w:ilvl w:val="0"/>
          <w:numId w:val="9"/>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olor w:val="auto"/>
          <w:lang w:val="en-US" w:eastAsia="zh-CN"/>
        </w:rPr>
      </w:pPr>
      <w:r>
        <w:rPr>
          <w:rFonts w:hint="eastAsia"/>
          <w:sz w:val="20"/>
          <w:szCs w:val="20"/>
          <w:lang w:val="en-US" w:eastAsia="zh-CN"/>
        </w:rPr>
        <w:t>RP-234078, New WID: Non-Terrestrial Networks (NTN) for NR Phase 3, Huawei</w:t>
      </w:r>
    </w:p>
    <w:p>
      <w:pPr>
        <w:keepNext/>
        <w:keepLines/>
        <w:pageBreakBefore w:val="0"/>
        <w:widowControl/>
        <w:numPr>
          <w:ilvl w:val="0"/>
          <w:numId w:val="9"/>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olor w:val="auto"/>
          <w:lang w:val="en-US" w:eastAsia="zh-CN"/>
        </w:rPr>
      </w:pPr>
      <w:r>
        <w:rPr>
          <w:rFonts w:hint="default"/>
          <w:color w:val="auto"/>
          <w:lang w:val="en-US" w:eastAsia="zh-CN"/>
        </w:rPr>
        <w:t>R4-2406610</w:t>
      </w:r>
      <w:r>
        <w:rPr>
          <w:rFonts w:hint="eastAsia"/>
          <w:color w:val="auto"/>
          <w:lang w:val="en-US" w:eastAsia="zh-CN"/>
        </w:rPr>
        <w:t xml:space="preserve">, </w:t>
      </w:r>
      <w:r>
        <w:rPr>
          <w:rFonts w:hint="default"/>
          <w:color w:val="auto"/>
          <w:lang w:val="en-US" w:eastAsia="zh-CN"/>
        </w:rPr>
        <w:t>WF on NR_NTN_Ph3_UERF</w:t>
      </w:r>
      <w:r>
        <w:rPr>
          <w:rFonts w:hint="eastAsia"/>
          <w:color w:val="auto"/>
          <w:lang w:val="en-US" w:eastAsia="zh-CN"/>
        </w:rPr>
        <w:t xml:space="preserve">, Qualcomm Inc. </w:t>
      </w:r>
    </w:p>
    <w:p>
      <w:pPr>
        <w:keepNext/>
        <w:keepLines/>
        <w:pageBreakBefore w:val="0"/>
        <w:widowControl/>
        <w:numPr>
          <w:ilvl w:val="0"/>
          <w:numId w:val="9"/>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1"/>
          <w:szCs w:val="21"/>
          <w:highlight w:val="none"/>
          <w:lang w:val="en-US" w:eastAsia="zh-CN"/>
        </w:rPr>
      </w:pPr>
      <w:r>
        <w:rPr>
          <w:rFonts w:hint="default" w:ascii="Times New Roman" w:hAnsi="Times New Roman" w:eastAsia="宋体" w:cs="Times New Roman"/>
          <w:b w:val="0"/>
          <w:bCs w:val="0"/>
          <w:color w:val="auto"/>
          <w:sz w:val="21"/>
          <w:szCs w:val="21"/>
          <w:highlight w:val="none"/>
          <w:lang w:val="en-US" w:eastAsia="zh-CN"/>
        </w:rPr>
        <w:t>R4-2206544</w:t>
      </w:r>
      <w:r>
        <w:rPr>
          <w:rFonts w:hint="eastAsia" w:cs="Times New Roman"/>
          <w:b w:val="0"/>
          <w:bCs w:val="0"/>
          <w:color w:val="auto"/>
          <w:sz w:val="21"/>
          <w:szCs w:val="21"/>
          <w:highlight w:val="none"/>
          <w:lang w:val="en-US" w:eastAsia="zh-CN"/>
        </w:rPr>
        <w:t>, WF on the RedCap RF, Ericsson</w:t>
      </w: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6"/>
          <w:spacing w:before="120" w:after="120"/>
          <w:jc w:val="center"/>
        </w:pPr>
        <w:r>
          <w:fldChar w:fldCharType="begin"/>
        </w:r>
        <w:r>
          <w:instrText xml:space="preserve"> PAGE   \* MERGEFORMAT </w:instrText>
        </w:r>
        <w:r>
          <w:fldChar w:fldCharType="separate"/>
        </w:r>
        <w:r>
          <w:t>1</w:t>
        </w:r>
        <w:r>
          <w:fldChar w:fldCharType="end"/>
        </w:r>
      </w:p>
    </w:sdtContent>
  </w:sdt>
  <w:p>
    <w:pPr>
      <w:pStyle w:val="16"/>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2F0E75E3"/>
    <w:multiLevelType w:val="multilevel"/>
    <w:tmpl w:val="2F0E75E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6">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7">
    <w:nsid w:val="5F723A5E"/>
    <w:multiLevelType w:val="singleLevel"/>
    <w:tmpl w:val="5F723A5E"/>
    <w:lvl w:ilvl="0" w:tentative="0">
      <w:start w:val="1"/>
      <w:numFmt w:val="decimal"/>
      <w:suff w:val="space"/>
      <w:lvlText w:val="[%1]"/>
      <w:lvlJc w:val="left"/>
    </w:lvl>
  </w:abstractNum>
  <w:abstractNum w:abstractNumId="8">
    <w:nsid w:val="6B5B4F67"/>
    <w:multiLevelType w:val="multilevel"/>
    <w:tmpl w:val="6B5B4F67"/>
    <w:lvl w:ilvl="0" w:tentative="0">
      <w:start w:val="1"/>
      <w:numFmt w:val="decimal"/>
      <w:pStyle w:val="12"/>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2"/>
  </w:num>
  <w:num w:numId="2">
    <w:abstractNumId w:val="8"/>
  </w:num>
  <w:num w:numId="3">
    <w:abstractNumId w:val="6"/>
  </w:num>
  <w:num w:numId="4">
    <w:abstractNumId w:val="4"/>
  </w:num>
  <w:num w:numId="5">
    <w:abstractNumId w:val="5"/>
  </w:num>
  <w:num w:numId="6">
    <w:abstractNumId w:val="1"/>
  </w:num>
  <w:num w:numId="7">
    <w:abstractNumId w:val="0"/>
  </w:num>
  <w:num w:numId="8">
    <w:abstractNumId w:val="3"/>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328AB"/>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5FAD"/>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3ED4"/>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EE0FE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040FC5"/>
    <w:rsid w:val="01101B26"/>
    <w:rsid w:val="011A0B49"/>
    <w:rsid w:val="014A0623"/>
    <w:rsid w:val="01536583"/>
    <w:rsid w:val="015D3EF3"/>
    <w:rsid w:val="01764F01"/>
    <w:rsid w:val="018107C9"/>
    <w:rsid w:val="01854FE9"/>
    <w:rsid w:val="018E207B"/>
    <w:rsid w:val="0190283E"/>
    <w:rsid w:val="019C544F"/>
    <w:rsid w:val="019D155B"/>
    <w:rsid w:val="01A428BB"/>
    <w:rsid w:val="01AE307F"/>
    <w:rsid w:val="01B35169"/>
    <w:rsid w:val="01C00B7B"/>
    <w:rsid w:val="01CA1BB3"/>
    <w:rsid w:val="01D00B7E"/>
    <w:rsid w:val="01D46B8D"/>
    <w:rsid w:val="01D67ABF"/>
    <w:rsid w:val="01D866D8"/>
    <w:rsid w:val="01E54210"/>
    <w:rsid w:val="01EE2663"/>
    <w:rsid w:val="01F90434"/>
    <w:rsid w:val="01FB366B"/>
    <w:rsid w:val="01FD3930"/>
    <w:rsid w:val="02024A92"/>
    <w:rsid w:val="02042B52"/>
    <w:rsid w:val="021B7C87"/>
    <w:rsid w:val="022D4A6E"/>
    <w:rsid w:val="023512AC"/>
    <w:rsid w:val="023B0A39"/>
    <w:rsid w:val="023C78A7"/>
    <w:rsid w:val="023F3FD3"/>
    <w:rsid w:val="02444B7E"/>
    <w:rsid w:val="024A5964"/>
    <w:rsid w:val="024B023C"/>
    <w:rsid w:val="024B52AA"/>
    <w:rsid w:val="024D6B6A"/>
    <w:rsid w:val="024E43D4"/>
    <w:rsid w:val="02510B5E"/>
    <w:rsid w:val="02566C17"/>
    <w:rsid w:val="025C4BEF"/>
    <w:rsid w:val="026246A1"/>
    <w:rsid w:val="0262759F"/>
    <w:rsid w:val="02655431"/>
    <w:rsid w:val="027275A1"/>
    <w:rsid w:val="027371D9"/>
    <w:rsid w:val="0276366F"/>
    <w:rsid w:val="027F646E"/>
    <w:rsid w:val="027F64CF"/>
    <w:rsid w:val="028F6D4C"/>
    <w:rsid w:val="02926AD9"/>
    <w:rsid w:val="02933CBB"/>
    <w:rsid w:val="02951DBD"/>
    <w:rsid w:val="02976D78"/>
    <w:rsid w:val="02983E12"/>
    <w:rsid w:val="029A69A7"/>
    <w:rsid w:val="029B04E7"/>
    <w:rsid w:val="02A10998"/>
    <w:rsid w:val="02AB0FBC"/>
    <w:rsid w:val="02AE6812"/>
    <w:rsid w:val="02CD601D"/>
    <w:rsid w:val="02D16C80"/>
    <w:rsid w:val="02DC3F9C"/>
    <w:rsid w:val="03036B01"/>
    <w:rsid w:val="03052298"/>
    <w:rsid w:val="03073BDC"/>
    <w:rsid w:val="030A6B04"/>
    <w:rsid w:val="030B0647"/>
    <w:rsid w:val="030B2860"/>
    <w:rsid w:val="030C40C1"/>
    <w:rsid w:val="030D2F0B"/>
    <w:rsid w:val="03163385"/>
    <w:rsid w:val="03187492"/>
    <w:rsid w:val="031E429F"/>
    <w:rsid w:val="032F336F"/>
    <w:rsid w:val="03317AD0"/>
    <w:rsid w:val="033C68CE"/>
    <w:rsid w:val="033F734A"/>
    <w:rsid w:val="03445E8F"/>
    <w:rsid w:val="03496C64"/>
    <w:rsid w:val="035154D3"/>
    <w:rsid w:val="03527C38"/>
    <w:rsid w:val="0356746F"/>
    <w:rsid w:val="0360259A"/>
    <w:rsid w:val="036E37C2"/>
    <w:rsid w:val="03746F87"/>
    <w:rsid w:val="03814F5B"/>
    <w:rsid w:val="038B3141"/>
    <w:rsid w:val="03A77DFA"/>
    <w:rsid w:val="03B339B1"/>
    <w:rsid w:val="03C05350"/>
    <w:rsid w:val="03C1287B"/>
    <w:rsid w:val="03C36B0E"/>
    <w:rsid w:val="03C528EA"/>
    <w:rsid w:val="03CF67FA"/>
    <w:rsid w:val="03E120EA"/>
    <w:rsid w:val="03E358F3"/>
    <w:rsid w:val="03E84DE8"/>
    <w:rsid w:val="03EC63CD"/>
    <w:rsid w:val="04030035"/>
    <w:rsid w:val="04251A4C"/>
    <w:rsid w:val="042D2E97"/>
    <w:rsid w:val="04305EA0"/>
    <w:rsid w:val="04310833"/>
    <w:rsid w:val="04343921"/>
    <w:rsid w:val="043865BF"/>
    <w:rsid w:val="043A14AD"/>
    <w:rsid w:val="044C78D8"/>
    <w:rsid w:val="04537B11"/>
    <w:rsid w:val="04684A28"/>
    <w:rsid w:val="046C0EAE"/>
    <w:rsid w:val="04782230"/>
    <w:rsid w:val="0479507E"/>
    <w:rsid w:val="04894975"/>
    <w:rsid w:val="04922411"/>
    <w:rsid w:val="049D2615"/>
    <w:rsid w:val="04A65723"/>
    <w:rsid w:val="04B14B03"/>
    <w:rsid w:val="04D46535"/>
    <w:rsid w:val="04DA1A87"/>
    <w:rsid w:val="04DC0F32"/>
    <w:rsid w:val="04DE2DA3"/>
    <w:rsid w:val="04DF3C0B"/>
    <w:rsid w:val="04EB6DF8"/>
    <w:rsid w:val="04FF1C94"/>
    <w:rsid w:val="04FF7D5A"/>
    <w:rsid w:val="0502349F"/>
    <w:rsid w:val="050C587A"/>
    <w:rsid w:val="050E7487"/>
    <w:rsid w:val="05161D2D"/>
    <w:rsid w:val="051B5DBA"/>
    <w:rsid w:val="0522500E"/>
    <w:rsid w:val="052E568F"/>
    <w:rsid w:val="053973F0"/>
    <w:rsid w:val="053E65E7"/>
    <w:rsid w:val="054B2F7A"/>
    <w:rsid w:val="0555228E"/>
    <w:rsid w:val="05636085"/>
    <w:rsid w:val="057D1D66"/>
    <w:rsid w:val="059D265F"/>
    <w:rsid w:val="059E1515"/>
    <w:rsid w:val="05B92EC1"/>
    <w:rsid w:val="05CC10DC"/>
    <w:rsid w:val="05E078B3"/>
    <w:rsid w:val="05E942A3"/>
    <w:rsid w:val="05EA759F"/>
    <w:rsid w:val="05EE6827"/>
    <w:rsid w:val="0601277E"/>
    <w:rsid w:val="060C5AED"/>
    <w:rsid w:val="06103146"/>
    <w:rsid w:val="06172561"/>
    <w:rsid w:val="061E54DA"/>
    <w:rsid w:val="061E5E22"/>
    <w:rsid w:val="062B2FCF"/>
    <w:rsid w:val="063F63E4"/>
    <w:rsid w:val="06460B91"/>
    <w:rsid w:val="0654187C"/>
    <w:rsid w:val="065475DE"/>
    <w:rsid w:val="06556C03"/>
    <w:rsid w:val="066358E5"/>
    <w:rsid w:val="06757F53"/>
    <w:rsid w:val="06782F84"/>
    <w:rsid w:val="067C28D6"/>
    <w:rsid w:val="068A55C2"/>
    <w:rsid w:val="068E06BC"/>
    <w:rsid w:val="069201CB"/>
    <w:rsid w:val="06956E2E"/>
    <w:rsid w:val="06AC7765"/>
    <w:rsid w:val="06B62C91"/>
    <w:rsid w:val="06B741D9"/>
    <w:rsid w:val="06B756E7"/>
    <w:rsid w:val="06C457B6"/>
    <w:rsid w:val="06CD4A70"/>
    <w:rsid w:val="06DF4C13"/>
    <w:rsid w:val="06E7678C"/>
    <w:rsid w:val="06EC7519"/>
    <w:rsid w:val="06F42A88"/>
    <w:rsid w:val="06F801C0"/>
    <w:rsid w:val="070E5E48"/>
    <w:rsid w:val="07105178"/>
    <w:rsid w:val="0712124C"/>
    <w:rsid w:val="071C13A8"/>
    <w:rsid w:val="073D143C"/>
    <w:rsid w:val="074454BD"/>
    <w:rsid w:val="074855FD"/>
    <w:rsid w:val="07627CA0"/>
    <w:rsid w:val="076319C4"/>
    <w:rsid w:val="076925D2"/>
    <w:rsid w:val="077241E3"/>
    <w:rsid w:val="0781725F"/>
    <w:rsid w:val="078935EB"/>
    <w:rsid w:val="078C5933"/>
    <w:rsid w:val="078D336C"/>
    <w:rsid w:val="07971B3F"/>
    <w:rsid w:val="07983294"/>
    <w:rsid w:val="079B3BB0"/>
    <w:rsid w:val="079F1838"/>
    <w:rsid w:val="07A2030D"/>
    <w:rsid w:val="07A5677E"/>
    <w:rsid w:val="07B51934"/>
    <w:rsid w:val="07B9290D"/>
    <w:rsid w:val="07BE52B9"/>
    <w:rsid w:val="07C55A1A"/>
    <w:rsid w:val="07C75AD9"/>
    <w:rsid w:val="07CB1347"/>
    <w:rsid w:val="07D57946"/>
    <w:rsid w:val="07ED524D"/>
    <w:rsid w:val="080124E3"/>
    <w:rsid w:val="08030E27"/>
    <w:rsid w:val="080C7FA0"/>
    <w:rsid w:val="080F0F47"/>
    <w:rsid w:val="08193C24"/>
    <w:rsid w:val="0826253F"/>
    <w:rsid w:val="082A7098"/>
    <w:rsid w:val="08334B3D"/>
    <w:rsid w:val="08341060"/>
    <w:rsid w:val="083E7612"/>
    <w:rsid w:val="08732D34"/>
    <w:rsid w:val="08787FF0"/>
    <w:rsid w:val="08824DF0"/>
    <w:rsid w:val="0889002B"/>
    <w:rsid w:val="089B79D9"/>
    <w:rsid w:val="08A44DA6"/>
    <w:rsid w:val="08AA245A"/>
    <w:rsid w:val="08AD2ACC"/>
    <w:rsid w:val="08BA6E24"/>
    <w:rsid w:val="08C024D5"/>
    <w:rsid w:val="08C562FD"/>
    <w:rsid w:val="08CA27B1"/>
    <w:rsid w:val="08E916DF"/>
    <w:rsid w:val="08F473EA"/>
    <w:rsid w:val="08FC0AA5"/>
    <w:rsid w:val="091B4FFA"/>
    <w:rsid w:val="092173F4"/>
    <w:rsid w:val="09262DE9"/>
    <w:rsid w:val="092F7300"/>
    <w:rsid w:val="09306537"/>
    <w:rsid w:val="09355076"/>
    <w:rsid w:val="09392119"/>
    <w:rsid w:val="09445E95"/>
    <w:rsid w:val="094C1D4E"/>
    <w:rsid w:val="09543B3B"/>
    <w:rsid w:val="09600FBD"/>
    <w:rsid w:val="0972595C"/>
    <w:rsid w:val="098143BC"/>
    <w:rsid w:val="098470A4"/>
    <w:rsid w:val="098500F1"/>
    <w:rsid w:val="0992510E"/>
    <w:rsid w:val="09B33AE4"/>
    <w:rsid w:val="09BD407A"/>
    <w:rsid w:val="09C12CF5"/>
    <w:rsid w:val="09DA0E26"/>
    <w:rsid w:val="09DB6437"/>
    <w:rsid w:val="09E55691"/>
    <w:rsid w:val="09F67CD5"/>
    <w:rsid w:val="0A054821"/>
    <w:rsid w:val="0A077A43"/>
    <w:rsid w:val="0A0835C8"/>
    <w:rsid w:val="0A145721"/>
    <w:rsid w:val="0A355EAA"/>
    <w:rsid w:val="0A3708FF"/>
    <w:rsid w:val="0A3B01F9"/>
    <w:rsid w:val="0A3F0488"/>
    <w:rsid w:val="0A402A36"/>
    <w:rsid w:val="0A4236A3"/>
    <w:rsid w:val="0A4E7EF5"/>
    <w:rsid w:val="0A646846"/>
    <w:rsid w:val="0A7B4D83"/>
    <w:rsid w:val="0A817CBD"/>
    <w:rsid w:val="0A8251CA"/>
    <w:rsid w:val="0A8828AB"/>
    <w:rsid w:val="0A927DC1"/>
    <w:rsid w:val="0A9B4F7F"/>
    <w:rsid w:val="0A9C263A"/>
    <w:rsid w:val="0A9D54CD"/>
    <w:rsid w:val="0A9E3D3D"/>
    <w:rsid w:val="0AA077E0"/>
    <w:rsid w:val="0AA5327C"/>
    <w:rsid w:val="0AC01F88"/>
    <w:rsid w:val="0AC0212C"/>
    <w:rsid w:val="0AC3085F"/>
    <w:rsid w:val="0AD542C1"/>
    <w:rsid w:val="0ADD5A20"/>
    <w:rsid w:val="0AE10FD9"/>
    <w:rsid w:val="0AF13898"/>
    <w:rsid w:val="0AFB3228"/>
    <w:rsid w:val="0AFC6C07"/>
    <w:rsid w:val="0AFF6A66"/>
    <w:rsid w:val="0B0130D7"/>
    <w:rsid w:val="0B0250FD"/>
    <w:rsid w:val="0B0F025C"/>
    <w:rsid w:val="0B1A6333"/>
    <w:rsid w:val="0B2713F4"/>
    <w:rsid w:val="0B3B1BC1"/>
    <w:rsid w:val="0B3B5196"/>
    <w:rsid w:val="0B3D701F"/>
    <w:rsid w:val="0B3E7DD7"/>
    <w:rsid w:val="0B491629"/>
    <w:rsid w:val="0B4B40F9"/>
    <w:rsid w:val="0B554398"/>
    <w:rsid w:val="0B561995"/>
    <w:rsid w:val="0B5C2C2A"/>
    <w:rsid w:val="0B6148D2"/>
    <w:rsid w:val="0B665E0A"/>
    <w:rsid w:val="0B673342"/>
    <w:rsid w:val="0B7C0E60"/>
    <w:rsid w:val="0B847B39"/>
    <w:rsid w:val="0B987E20"/>
    <w:rsid w:val="0B9B3817"/>
    <w:rsid w:val="0B9E71DF"/>
    <w:rsid w:val="0BA65BCD"/>
    <w:rsid w:val="0BAD5CC5"/>
    <w:rsid w:val="0BAD5EDC"/>
    <w:rsid w:val="0BAF59B9"/>
    <w:rsid w:val="0BB524B8"/>
    <w:rsid w:val="0BB756DF"/>
    <w:rsid w:val="0BC63DB2"/>
    <w:rsid w:val="0BCC4043"/>
    <w:rsid w:val="0BCC4B6A"/>
    <w:rsid w:val="0BE2291A"/>
    <w:rsid w:val="0C1E494F"/>
    <w:rsid w:val="0C3427D0"/>
    <w:rsid w:val="0C43327D"/>
    <w:rsid w:val="0C4426AF"/>
    <w:rsid w:val="0C453647"/>
    <w:rsid w:val="0C4577EC"/>
    <w:rsid w:val="0C4F3B0E"/>
    <w:rsid w:val="0C4F7881"/>
    <w:rsid w:val="0C5A77EA"/>
    <w:rsid w:val="0C5C6396"/>
    <w:rsid w:val="0C63431B"/>
    <w:rsid w:val="0C650A20"/>
    <w:rsid w:val="0C690EFA"/>
    <w:rsid w:val="0C6E11B8"/>
    <w:rsid w:val="0C723CD1"/>
    <w:rsid w:val="0C825F28"/>
    <w:rsid w:val="0C89028B"/>
    <w:rsid w:val="0C8B63A3"/>
    <w:rsid w:val="0CB94808"/>
    <w:rsid w:val="0CC146A9"/>
    <w:rsid w:val="0CC37BC2"/>
    <w:rsid w:val="0CD87ABE"/>
    <w:rsid w:val="0CE26C42"/>
    <w:rsid w:val="0CE632FF"/>
    <w:rsid w:val="0CE76B48"/>
    <w:rsid w:val="0CEB5DBE"/>
    <w:rsid w:val="0CFB523A"/>
    <w:rsid w:val="0D074D4A"/>
    <w:rsid w:val="0D0A3371"/>
    <w:rsid w:val="0D0C5764"/>
    <w:rsid w:val="0D1B1E9C"/>
    <w:rsid w:val="0D4B44A1"/>
    <w:rsid w:val="0D6811B4"/>
    <w:rsid w:val="0D6E2620"/>
    <w:rsid w:val="0D704E21"/>
    <w:rsid w:val="0D7F48FE"/>
    <w:rsid w:val="0D883C88"/>
    <w:rsid w:val="0D936E72"/>
    <w:rsid w:val="0D966BF7"/>
    <w:rsid w:val="0DB54F84"/>
    <w:rsid w:val="0DB84465"/>
    <w:rsid w:val="0DCC3AE8"/>
    <w:rsid w:val="0DD87842"/>
    <w:rsid w:val="0DDE2885"/>
    <w:rsid w:val="0DEF012A"/>
    <w:rsid w:val="0DF202E1"/>
    <w:rsid w:val="0DF53CE3"/>
    <w:rsid w:val="0E0961C5"/>
    <w:rsid w:val="0E147898"/>
    <w:rsid w:val="0E264DDB"/>
    <w:rsid w:val="0E2F216B"/>
    <w:rsid w:val="0E3352C6"/>
    <w:rsid w:val="0E3A5EE2"/>
    <w:rsid w:val="0E542F3B"/>
    <w:rsid w:val="0E5757F7"/>
    <w:rsid w:val="0E591BF0"/>
    <w:rsid w:val="0E6271DF"/>
    <w:rsid w:val="0E78367D"/>
    <w:rsid w:val="0E81568A"/>
    <w:rsid w:val="0E842865"/>
    <w:rsid w:val="0E903E3B"/>
    <w:rsid w:val="0E942250"/>
    <w:rsid w:val="0E963344"/>
    <w:rsid w:val="0E9E6E00"/>
    <w:rsid w:val="0EA40C1C"/>
    <w:rsid w:val="0EAA759E"/>
    <w:rsid w:val="0EAF381F"/>
    <w:rsid w:val="0EB72E4B"/>
    <w:rsid w:val="0EEC6F1D"/>
    <w:rsid w:val="0F0621F6"/>
    <w:rsid w:val="0F103291"/>
    <w:rsid w:val="0F15660A"/>
    <w:rsid w:val="0F1D0EA6"/>
    <w:rsid w:val="0F1D498B"/>
    <w:rsid w:val="0F22242C"/>
    <w:rsid w:val="0F337178"/>
    <w:rsid w:val="0F3B15FC"/>
    <w:rsid w:val="0F41022A"/>
    <w:rsid w:val="0F56743B"/>
    <w:rsid w:val="0F60682C"/>
    <w:rsid w:val="0F6763D9"/>
    <w:rsid w:val="0F715B2B"/>
    <w:rsid w:val="0F744211"/>
    <w:rsid w:val="0F764270"/>
    <w:rsid w:val="0F7F273F"/>
    <w:rsid w:val="0F7F7919"/>
    <w:rsid w:val="0F8418ED"/>
    <w:rsid w:val="0F8B3A90"/>
    <w:rsid w:val="0F957B47"/>
    <w:rsid w:val="0F98796C"/>
    <w:rsid w:val="0F9F6FA4"/>
    <w:rsid w:val="0FA65D5C"/>
    <w:rsid w:val="0FAA75F1"/>
    <w:rsid w:val="0FAD33DA"/>
    <w:rsid w:val="0FAD71D4"/>
    <w:rsid w:val="0FBE2A42"/>
    <w:rsid w:val="0FC17CCE"/>
    <w:rsid w:val="0FC424B9"/>
    <w:rsid w:val="0FCC3C6A"/>
    <w:rsid w:val="0FD576BA"/>
    <w:rsid w:val="0FD70565"/>
    <w:rsid w:val="0FE928D1"/>
    <w:rsid w:val="0FEC680C"/>
    <w:rsid w:val="0FFF0BF3"/>
    <w:rsid w:val="10007AD6"/>
    <w:rsid w:val="101B1E8A"/>
    <w:rsid w:val="101C4A03"/>
    <w:rsid w:val="101D0C86"/>
    <w:rsid w:val="102A1714"/>
    <w:rsid w:val="104A023B"/>
    <w:rsid w:val="10501493"/>
    <w:rsid w:val="10505F3B"/>
    <w:rsid w:val="10677613"/>
    <w:rsid w:val="106D2686"/>
    <w:rsid w:val="107C3E2C"/>
    <w:rsid w:val="107D41AE"/>
    <w:rsid w:val="108C2479"/>
    <w:rsid w:val="10C715C5"/>
    <w:rsid w:val="10D335EF"/>
    <w:rsid w:val="10E255A6"/>
    <w:rsid w:val="10E746EA"/>
    <w:rsid w:val="10E83FE0"/>
    <w:rsid w:val="10EC3168"/>
    <w:rsid w:val="10F52718"/>
    <w:rsid w:val="11124F2E"/>
    <w:rsid w:val="11125358"/>
    <w:rsid w:val="111F38A5"/>
    <w:rsid w:val="111F6CBE"/>
    <w:rsid w:val="112D2A42"/>
    <w:rsid w:val="112E5C73"/>
    <w:rsid w:val="113A22DB"/>
    <w:rsid w:val="114028DC"/>
    <w:rsid w:val="11441C15"/>
    <w:rsid w:val="1159252B"/>
    <w:rsid w:val="1160765D"/>
    <w:rsid w:val="116F1EB0"/>
    <w:rsid w:val="117A242E"/>
    <w:rsid w:val="117B1D6A"/>
    <w:rsid w:val="117C2D9D"/>
    <w:rsid w:val="117F159E"/>
    <w:rsid w:val="11821DC9"/>
    <w:rsid w:val="11897A08"/>
    <w:rsid w:val="11921373"/>
    <w:rsid w:val="119D7849"/>
    <w:rsid w:val="11A615EE"/>
    <w:rsid w:val="11A658F4"/>
    <w:rsid w:val="11B91A57"/>
    <w:rsid w:val="11BA3FAE"/>
    <w:rsid w:val="11C67B8F"/>
    <w:rsid w:val="11CE730E"/>
    <w:rsid w:val="11D815C4"/>
    <w:rsid w:val="11E57D4F"/>
    <w:rsid w:val="11F40833"/>
    <w:rsid w:val="11F92DAB"/>
    <w:rsid w:val="11FB6DE4"/>
    <w:rsid w:val="11FC38D5"/>
    <w:rsid w:val="11FD37F5"/>
    <w:rsid w:val="120F1E38"/>
    <w:rsid w:val="1210682D"/>
    <w:rsid w:val="122215D3"/>
    <w:rsid w:val="122F0F93"/>
    <w:rsid w:val="123A05DB"/>
    <w:rsid w:val="124240B9"/>
    <w:rsid w:val="12491684"/>
    <w:rsid w:val="124D0988"/>
    <w:rsid w:val="124E44B4"/>
    <w:rsid w:val="126532DD"/>
    <w:rsid w:val="12680E73"/>
    <w:rsid w:val="12763466"/>
    <w:rsid w:val="127E5AA6"/>
    <w:rsid w:val="128B2749"/>
    <w:rsid w:val="129019B5"/>
    <w:rsid w:val="129811DB"/>
    <w:rsid w:val="129937EE"/>
    <w:rsid w:val="129E6282"/>
    <w:rsid w:val="129F3A3A"/>
    <w:rsid w:val="12AB7A32"/>
    <w:rsid w:val="12BB6535"/>
    <w:rsid w:val="12C7312B"/>
    <w:rsid w:val="12D22971"/>
    <w:rsid w:val="12D85654"/>
    <w:rsid w:val="12DF4A87"/>
    <w:rsid w:val="12E265EC"/>
    <w:rsid w:val="12E706B5"/>
    <w:rsid w:val="12EE5106"/>
    <w:rsid w:val="12F777F2"/>
    <w:rsid w:val="1307341C"/>
    <w:rsid w:val="130C40FE"/>
    <w:rsid w:val="130E3629"/>
    <w:rsid w:val="131B39DD"/>
    <w:rsid w:val="13283BA4"/>
    <w:rsid w:val="13332F77"/>
    <w:rsid w:val="13334E1C"/>
    <w:rsid w:val="13346EE4"/>
    <w:rsid w:val="13384952"/>
    <w:rsid w:val="1355107F"/>
    <w:rsid w:val="135D4D2E"/>
    <w:rsid w:val="1366638D"/>
    <w:rsid w:val="1369011A"/>
    <w:rsid w:val="136D76E8"/>
    <w:rsid w:val="137266E0"/>
    <w:rsid w:val="13811975"/>
    <w:rsid w:val="138F3C22"/>
    <w:rsid w:val="139D3156"/>
    <w:rsid w:val="13A50F41"/>
    <w:rsid w:val="13AA5FA1"/>
    <w:rsid w:val="13C20262"/>
    <w:rsid w:val="13D024B3"/>
    <w:rsid w:val="13D115EF"/>
    <w:rsid w:val="13D86A45"/>
    <w:rsid w:val="13DD445E"/>
    <w:rsid w:val="13DE7C83"/>
    <w:rsid w:val="13E20C66"/>
    <w:rsid w:val="13FD073F"/>
    <w:rsid w:val="14001419"/>
    <w:rsid w:val="140171D9"/>
    <w:rsid w:val="1405674E"/>
    <w:rsid w:val="140815BB"/>
    <w:rsid w:val="14087FC1"/>
    <w:rsid w:val="14095006"/>
    <w:rsid w:val="141C71BE"/>
    <w:rsid w:val="141E583B"/>
    <w:rsid w:val="1424615D"/>
    <w:rsid w:val="14277805"/>
    <w:rsid w:val="142C143A"/>
    <w:rsid w:val="142E1345"/>
    <w:rsid w:val="145103FA"/>
    <w:rsid w:val="145F07C7"/>
    <w:rsid w:val="14601908"/>
    <w:rsid w:val="14632D00"/>
    <w:rsid w:val="146B69A8"/>
    <w:rsid w:val="146C5189"/>
    <w:rsid w:val="146F1089"/>
    <w:rsid w:val="14816B50"/>
    <w:rsid w:val="148313F4"/>
    <w:rsid w:val="1485665F"/>
    <w:rsid w:val="149312D1"/>
    <w:rsid w:val="14934F1A"/>
    <w:rsid w:val="149559C4"/>
    <w:rsid w:val="149D71D6"/>
    <w:rsid w:val="149E3770"/>
    <w:rsid w:val="14A13FBC"/>
    <w:rsid w:val="14A67171"/>
    <w:rsid w:val="14AA71CB"/>
    <w:rsid w:val="14AC0C32"/>
    <w:rsid w:val="14B602D5"/>
    <w:rsid w:val="14C45576"/>
    <w:rsid w:val="14C76D6C"/>
    <w:rsid w:val="14CE33C4"/>
    <w:rsid w:val="14D60E60"/>
    <w:rsid w:val="14DA3DA1"/>
    <w:rsid w:val="14E60B42"/>
    <w:rsid w:val="14EA1C4D"/>
    <w:rsid w:val="14EF0267"/>
    <w:rsid w:val="14FB736A"/>
    <w:rsid w:val="150222BF"/>
    <w:rsid w:val="150F7C33"/>
    <w:rsid w:val="151178FC"/>
    <w:rsid w:val="1515004B"/>
    <w:rsid w:val="151B7C99"/>
    <w:rsid w:val="15207BBA"/>
    <w:rsid w:val="15222DA1"/>
    <w:rsid w:val="15256B65"/>
    <w:rsid w:val="152F4E1B"/>
    <w:rsid w:val="154D342A"/>
    <w:rsid w:val="1559587F"/>
    <w:rsid w:val="155E7DEC"/>
    <w:rsid w:val="15740334"/>
    <w:rsid w:val="1574662E"/>
    <w:rsid w:val="15751882"/>
    <w:rsid w:val="1575191B"/>
    <w:rsid w:val="157818C6"/>
    <w:rsid w:val="159F73BB"/>
    <w:rsid w:val="15B03F28"/>
    <w:rsid w:val="15C15E25"/>
    <w:rsid w:val="15C42571"/>
    <w:rsid w:val="15E30A80"/>
    <w:rsid w:val="15FD2FA2"/>
    <w:rsid w:val="16021A7C"/>
    <w:rsid w:val="1608480E"/>
    <w:rsid w:val="161C1C58"/>
    <w:rsid w:val="162D7415"/>
    <w:rsid w:val="162F7556"/>
    <w:rsid w:val="163814FD"/>
    <w:rsid w:val="163A6AD4"/>
    <w:rsid w:val="16413A3A"/>
    <w:rsid w:val="1644500C"/>
    <w:rsid w:val="16461A95"/>
    <w:rsid w:val="16594F06"/>
    <w:rsid w:val="165A38E6"/>
    <w:rsid w:val="166F5E80"/>
    <w:rsid w:val="16766A92"/>
    <w:rsid w:val="167A52A9"/>
    <w:rsid w:val="167B20D8"/>
    <w:rsid w:val="167B7B40"/>
    <w:rsid w:val="167C6594"/>
    <w:rsid w:val="16833ACA"/>
    <w:rsid w:val="16866882"/>
    <w:rsid w:val="16872167"/>
    <w:rsid w:val="16895E32"/>
    <w:rsid w:val="168F69F2"/>
    <w:rsid w:val="169865AE"/>
    <w:rsid w:val="169C7FDE"/>
    <w:rsid w:val="16A4319F"/>
    <w:rsid w:val="16AC4DDB"/>
    <w:rsid w:val="16AE2FE3"/>
    <w:rsid w:val="16B23908"/>
    <w:rsid w:val="16B4400E"/>
    <w:rsid w:val="16C71372"/>
    <w:rsid w:val="16C739DF"/>
    <w:rsid w:val="16C86CDB"/>
    <w:rsid w:val="16DD3B26"/>
    <w:rsid w:val="16E73506"/>
    <w:rsid w:val="16EB6E00"/>
    <w:rsid w:val="16EE7649"/>
    <w:rsid w:val="16F04615"/>
    <w:rsid w:val="16FD2447"/>
    <w:rsid w:val="1712339A"/>
    <w:rsid w:val="171E63FC"/>
    <w:rsid w:val="1722504D"/>
    <w:rsid w:val="17306175"/>
    <w:rsid w:val="1738730F"/>
    <w:rsid w:val="17416499"/>
    <w:rsid w:val="17481B81"/>
    <w:rsid w:val="17481E8B"/>
    <w:rsid w:val="174A69B0"/>
    <w:rsid w:val="175007ED"/>
    <w:rsid w:val="175D7538"/>
    <w:rsid w:val="17605E9B"/>
    <w:rsid w:val="176B45C6"/>
    <w:rsid w:val="176C447F"/>
    <w:rsid w:val="17850F99"/>
    <w:rsid w:val="17875303"/>
    <w:rsid w:val="178815C4"/>
    <w:rsid w:val="17891C0B"/>
    <w:rsid w:val="178F2F4E"/>
    <w:rsid w:val="1793626E"/>
    <w:rsid w:val="17991452"/>
    <w:rsid w:val="17A875F5"/>
    <w:rsid w:val="17B5256D"/>
    <w:rsid w:val="17B92501"/>
    <w:rsid w:val="17E47B20"/>
    <w:rsid w:val="17E65848"/>
    <w:rsid w:val="17E66DD8"/>
    <w:rsid w:val="17E84839"/>
    <w:rsid w:val="17EE1403"/>
    <w:rsid w:val="17F25234"/>
    <w:rsid w:val="17FD061B"/>
    <w:rsid w:val="17FD20FD"/>
    <w:rsid w:val="17FF6314"/>
    <w:rsid w:val="18005F41"/>
    <w:rsid w:val="18025414"/>
    <w:rsid w:val="18171305"/>
    <w:rsid w:val="1820454C"/>
    <w:rsid w:val="1829280B"/>
    <w:rsid w:val="18334194"/>
    <w:rsid w:val="183E1D37"/>
    <w:rsid w:val="1840126B"/>
    <w:rsid w:val="184D0787"/>
    <w:rsid w:val="185D1883"/>
    <w:rsid w:val="185E3AA1"/>
    <w:rsid w:val="185F15CF"/>
    <w:rsid w:val="18717152"/>
    <w:rsid w:val="18812331"/>
    <w:rsid w:val="18816F1C"/>
    <w:rsid w:val="18847050"/>
    <w:rsid w:val="18853F3E"/>
    <w:rsid w:val="188F3639"/>
    <w:rsid w:val="18956393"/>
    <w:rsid w:val="18A8582C"/>
    <w:rsid w:val="18B50543"/>
    <w:rsid w:val="18CA40C3"/>
    <w:rsid w:val="18CD7A02"/>
    <w:rsid w:val="18D904AC"/>
    <w:rsid w:val="18DF7095"/>
    <w:rsid w:val="19001FFC"/>
    <w:rsid w:val="19083894"/>
    <w:rsid w:val="190E2B4A"/>
    <w:rsid w:val="19256D7A"/>
    <w:rsid w:val="193275C2"/>
    <w:rsid w:val="19342CF4"/>
    <w:rsid w:val="193A500F"/>
    <w:rsid w:val="193B3E86"/>
    <w:rsid w:val="19463A75"/>
    <w:rsid w:val="194D2005"/>
    <w:rsid w:val="19655A52"/>
    <w:rsid w:val="19663168"/>
    <w:rsid w:val="197724BD"/>
    <w:rsid w:val="19786B0A"/>
    <w:rsid w:val="198A41A1"/>
    <w:rsid w:val="199A2059"/>
    <w:rsid w:val="19AE76C7"/>
    <w:rsid w:val="19B46E10"/>
    <w:rsid w:val="19C456C1"/>
    <w:rsid w:val="19E256B5"/>
    <w:rsid w:val="19E54655"/>
    <w:rsid w:val="19F061A1"/>
    <w:rsid w:val="1A054259"/>
    <w:rsid w:val="1A081816"/>
    <w:rsid w:val="1A0C5680"/>
    <w:rsid w:val="1A165171"/>
    <w:rsid w:val="1A3068A4"/>
    <w:rsid w:val="1A4858FF"/>
    <w:rsid w:val="1A4C698A"/>
    <w:rsid w:val="1A4D778D"/>
    <w:rsid w:val="1A5D5219"/>
    <w:rsid w:val="1A5E4B5A"/>
    <w:rsid w:val="1A672B1C"/>
    <w:rsid w:val="1A7070DD"/>
    <w:rsid w:val="1A8301C0"/>
    <w:rsid w:val="1A872248"/>
    <w:rsid w:val="1A9B2279"/>
    <w:rsid w:val="1A9E6232"/>
    <w:rsid w:val="1AA57BA7"/>
    <w:rsid w:val="1AA74D3D"/>
    <w:rsid w:val="1AB34DB4"/>
    <w:rsid w:val="1AB613FD"/>
    <w:rsid w:val="1AB73747"/>
    <w:rsid w:val="1AC03C10"/>
    <w:rsid w:val="1ACF5EB8"/>
    <w:rsid w:val="1AD26086"/>
    <w:rsid w:val="1ADD5ACE"/>
    <w:rsid w:val="1AE013F8"/>
    <w:rsid w:val="1AE8570C"/>
    <w:rsid w:val="1AF7297B"/>
    <w:rsid w:val="1AF97DCC"/>
    <w:rsid w:val="1AFB06A3"/>
    <w:rsid w:val="1B062896"/>
    <w:rsid w:val="1B0F19AE"/>
    <w:rsid w:val="1B141BBC"/>
    <w:rsid w:val="1B2160BB"/>
    <w:rsid w:val="1B3637AD"/>
    <w:rsid w:val="1B3E0DB5"/>
    <w:rsid w:val="1B454C94"/>
    <w:rsid w:val="1B5C1145"/>
    <w:rsid w:val="1B5D79CB"/>
    <w:rsid w:val="1B6B769D"/>
    <w:rsid w:val="1B6C0DF0"/>
    <w:rsid w:val="1B7F6005"/>
    <w:rsid w:val="1B9C269A"/>
    <w:rsid w:val="1B9E64C5"/>
    <w:rsid w:val="1B9E6D4C"/>
    <w:rsid w:val="1BB07CEA"/>
    <w:rsid w:val="1BB73608"/>
    <w:rsid w:val="1BBD43BA"/>
    <w:rsid w:val="1BC01115"/>
    <w:rsid w:val="1BC44015"/>
    <w:rsid w:val="1BCA6284"/>
    <w:rsid w:val="1BCC6C47"/>
    <w:rsid w:val="1BE32C74"/>
    <w:rsid w:val="1BFB481C"/>
    <w:rsid w:val="1BFE5FF9"/>
    <w:rsid w:val="1C013494"/>
    <w:rsid w:val="1C053414"/>
    <w:rsid w:val="1C132CB9"/>
    <w:rsid w:val="1C1642A1"/>
    <w:rsid w:val="1C2146C5"/>
    <w:rsid w:val="1C240174"/>
    <w:rsid w:val="1C273D33"/>
    <w:rsid w:val="1C4032AB"/>
    <w:rsid w:val="1C4672ED"/>
    <w:rsid w:val="1C467AB6"/>
    <w:rsid w:val="1C591347"/>
    <w:rsid w:val="1C6277A9"/>
    <w:rsid w:val="1C750818"/>
    <w:rsid w:val="1C7F54CE"/>
    <w:rsid w:val="1C7F743F"/>
    <w:rsid w:val="1C8C4AA9"/>
    <w:rsid w:val="1C8C604B"/>
    <w:rsid w:val="1C92160B"/>
    <w:rsid w:val="1C973EEF"/>
    <w:rsid w:val="1CA03243"/>
    <w:rsid w:val="1CAC112E"/>
    <w:rsid w:val="1CAF5DB2"/>
    <w:rsid w:val="1CB40DF1"/>
    <w:rsid w:val="1CB86812"/>
    <w:rsid w:val="1CC11084"/>
    <w:rsid w:val="1CC71DD3"/>
    <w:rsid w:val="1CCC26CA"/>
    <w:rsid w:val="1CD2156B"/>
    <w:rsid w:val="1CD41743"/>
    <w:rsid w:val="1CD44D3D"/>
    <w:rsid w:val="1CD77F43"/>
    <w:rsid w:val="1CE45EF5"/>
    <w:rsid w:val="1CE615C9"/>
    <w:rsid w:val="1D037029"/>
    <w:rsid w:val="1D0A6B98"/>
    <w:rsid w:val="1D227612"/>
    <w:rsid w:val="1D3305FF"/>
    <w:rsid w:val="1D395282"/>
    <w:rsid w:val="1D4251BA"/>
    <w:rsid w:val="1D5B2FF2"/>
    <w:rsid w:val="1D5F5386"/>
    <w:rsid w:val="1D7072CE"/>
    <w:rsid w:val="1D794A16"/>
    <w:rsid w:val="1D8A021B"/>
    <w:rsid w:val="1D9E30A9"/>
    <w:rsid w:val="1DAB1006"/>
    <w:rsid w:val="1DAB2A0A"/>
    <w:rsid w:val="1DB33C11"/>
    <w:rsid w:val="1DC65562"/>
    <w:rsid w:val="1DD34749"/>
    <w:rsid w:val="1DDD201B"/>
    <w:rsid w:val="1DE94164"/>
    <w:rsid w:val="1DEE1B11"/>
    <w:rsid w:val="1E105A20"/>
    <w:rsid w:val="1E164B52"/>
    <w:rsid w:val="1E273844"/>
    <w:rsid w:val="1E2F243E"/>
    <w:rsid w:val="1E3B4F6B"/>
    <w:rsid w:val="1E455D19"/>
    <w:rsid w:val="1E595CAF"/>
    <w:rsid w:val="1E5C31E8"/>
    <w:rsid w:val="1E6607F9"/>
    <w:rsid w:val="1E691070"/>
    <w:rsid w:val="1E7E6BFD"/>
    <w:rsid w:val="1E805396"/>
    <w:rsid w:val="1E821B53"/>
    <w:rsid w:val="1E884F62"/>
    <w:rsid w:val="1E8D685D"/>
    <w:rsid w:val="1E9D6342"/>
    <w:rsid w:val="1E9D6D15"/>
    <w:rsid w:val="1EA77730"/>
    <w:rsid w:val="1EA80D43"/>
    <w:rsid w:val="1EBD1EAD"/>
    <w:rsid w:val="1EC36E9D"/>
    <w:rsid w:val="1ED277FF"/>
    <w:rsid w:val="1EE25FDD"/>
    <w:rsid w:val="1EEF7878"/>
    <w:rsid w:val="1EF5103F"/>
    <w:rsid w:val="1EFF621F"/>
    <w:rsid w:val="1F090F9B"/>
    <w:rsid w:val="1F0A0088"/>
    <w:rsid w:val="1F0E5D6B"/>
    <w:rsid w:val="1F0F2943"/>
    <w:rsid w:val="1F1420D0"/>
    <w:rsid w:val="1F194C88"/>
    <w:rsid w:val="1F323C57"/>
    <w:rsid w:val="1F343977"/>
    <w:rsid w:val="1F3E662A"/>
    <w:rsid w:val="1F4F2219"/>
    <w:rsid w:val="1F614D01"/>
    <w:rsid w:val="1F721405"/>
    <w:rsid w:val="1F935819"/>
    <w:rsid w:val="1FA036A3"/>
    <w:rsid w:val="1FA6556D"/>
    <w:rsid w:val="1FAF2571"/>
    <w:rsid w:val="1FB33036"/>
    <w:rsid w:val="1FC55EDA"/>
    <w:rsid w:val="1FC658C9"/>
    <w:rsid w:val="1FCE593C"/>
    <w:rsid w:val="1FE227A7"/>
    <w:rsid w:val="1FE312AC"/>
    <w:rsid w:val="1FEC5915"/>
    <w:rsid w:val="1FED32EF"/>
    <w:rsid w:val="1FF82884"/>
    <w:rsid w:val="201E6D7C"/>
    <w:rsid w:val="20446081"/>
    <w:rsid w:val="204852AD"/>
    <w:rsid w:val="204A6449"/>
    <w:rsid w:val="204E6676"/>
    <w:rsid w:val="20580C17"/>
    <w:rsid w:val="205A5AA0"/>
    <w:rsid w:val="20773A28"/>
    <w:rsid w:val="208574F4"/>
    <w:rsid w:val="208C4449"/>
    <w:rsid w:val="208F6BAF"/>
    <w:rsid w:val="209414DB"/>
    <w:rsid w:val="20A462BA"/>
    <w:rsid w:val="20BF2AAC"/>
    <w:rsid w:val="20C849C7"/>
    <w:rsid w:val="20DF66D2"/>
    <w:rsid w:val="20EC3F2E"/>
    <w:rsid w:val="20EC7C3E"/>
    <w:rsid w:val="20F07537"/>
    <w:rsid w:val="20FA77BC"/>
    <w:rsid w:val="210548E9"/>
    <w:rsid w:val="21124D15"/>
    <w:rsid w:val="21164A79"/>
    <w:rsid w:val="211C7DEA"/>
    <w:rsid w:val="213B13E1"/>
    <w:rsid w:val="213E7119"/>
    <w:rsid w:val="21401C29"/>
    <w:rsid w:val="21530058"/>
    <w:rsid w:val="21567D84"/>
    <w:rsid w:val="216608E3"/>
    <w:rsid w:val="21810744"/>
    <w:rsid w:val="218D6EF5"/>
    <w:rsid w:val="2195668B"/>
    <w:rsid w:val="219F69EC"/>
    <w:rsid w:val="21A130EA"/>
    <w:rsid w:val="21B5366A"/>
    <w:rsid w:val="21C267BF"/>
    <w:rsid w:val="21CD6BCD"/>
    <w:rsid w:val="21CE6067"/>
    <w:rsid w:val="21CF439A"/>
    <w:rsid w:val="21D824E4"/>
    <w:rsid w:val="21F00127"/>
    <w:rsid w:val="21F7745C"/>
    <w:rsid w:val="22035C75"/>
    <w:rsid w:val="221D2FA3"/>
    <w:rsid w:val="2226635F"/>
    <w:rsid w:val="222D4F0B"/>
    <w:rsid w:val="223A29CF"/>
    <w:rsid w:val="223D7545"/>
    <w:rsid w:val="22411D14"/>
    <w:rsid w:val="22423BE1"/>
    <w:rsid w:val="22454449"/>
    <w:rsid w:val="22500810"/>
    <w:rsid w:val="226347BD"/>
    <w:rsid w:val="22682935"/>
    <w:rsid w:val="227E7CD6"/>
    <w:rsid w:val="228A4698"/>
    <w:rsid w:val="22925971"/>
    <w:rsid w:val="22945167"/>
    <w:rsid w:val="229B0BE2"/>
    <w:rsid w:val="22A55CD5"/>
    <w:rsid w:val="22C558BB"/>
    <w:rsid w:val="22C74EE2"/>
    <w:rsid w:val="22CB6237"/>
    <w:rsid w:val="22CD14B5"/>
    <w:rsid w:val="22E02C6E"/>
    <w:rsid w:val="22E04FF4"/>
    <w:rsid w:val="22E1121B"/>
    <w:rsid w:val="22EA4C70"/>
    <w:rsid w:val="22F15AB9"/>
    <w:rsid w:val="22F75251"/>
    <w:rsid w:val="22F86F75"/>
    <w:rsid w:val="22FB4D32"/>
    <w:rsid w:val="22FC72E3"/>
    <w:rsid w:val="23131055"/>
    <w:rsid w:val="232C2DD6"/>
    <w:rsid w:val="233C6F76"/>
    <w:rsid w:val="234449F5"/>
    <w:rsid w:val="23536618"/>
    <w:rsid w:val="236C1BCA"/>
    <w:rsid w:val="237464D5"/>
    <w:rsid w:val="23816932"/>
    <w:rsid w:val="23925D42"/>
    <w:rsid w:val="239C062C"/>
    <w:rsid w:val="23A9484E"/>
    <w:rsid w:val="23B32F98"/>
    <w:rsid w:val="23B84268"/>
    <w:rsid w:val="23D17D7B"/>
    <w:rsid w:val="23D36D91"/>
    <w:rsid w:val="23E02099"/>
    <w:rsid w:val="23F5315C"/>
    <w:rsid w:val="23F70BA5"/>
    <w:rsid w:val="23F93D0D"/>
    <w:rsid w:val="2405417E"/>
    <w:rsid w:val="24197365"/>
    <w:rsid w:val="241B5C62"/>
    <w:rsid w:val="24312CB0"/>
    <w:rsid w:val="24513B48"/>
    <w:rsid w:val="2458381E"/>
    <w:rsid w:val="245872F9"/>
    <w:rsid w:val="245943D9"/>
    <w:rsid w:val="245E6B64"/>
    <w:rsid w:val="2463385E"/>
    <w:rsid w:val="246B2606"/>
    <w:rsid w:val="24767C7B"/>
    <w:rsid w:val="247C178B"/>
    <w:rsid w:val="24861BCE"/>
    <w:rsid w:val="24967323"/>
    <w:rsid w:val="249D5FC8"/>
    <w:rsid w:val="24A1538E"/>
    <w:rsid w:val="24B9450F"/>
    <w:rsid w:val="24C25350"/>
    <w:rsid w:val="24C83F94"/>
    <w:rsid w:val="24D82EE2"/>
    <w:rsid w:val="24F60CDA"/>
    <w:rsid w:val="24FE42EB"/>
    <w:rsid w:val="25090336"/>
    <w:rsid w:val="250D450C"/>
    <w:rsid w:val="25134332"/>
    <w:rsid w:val="25141A5B"/>
    <w:rsid w:val="2521546A"/>
    <w:rsid w:val="252242ED"/>
    <w:rsid w:val="252A2BA6"/>
    <w:rsid w:val="252B49E0"/>
    <w:rsid w:val="252D3CC1"/>
    <w:rsid w:val="254A35DD"/>
    <w:rsid w:val="255D45FE"/>
    <w:rsid w:val="25657E8F"/>
    <w:rsid w:val="25691F8B"/>
    <w:rsid w:val="256E76DE"/>
    <w:rsid w:val="25734B61"/>
    <w:rsid w:val="257632D6"/>
    <w:rsid w:val="258F6BC4"/>
    <w:rsid w:val="2597510C"/>
    <w:rsid w:val="25975923"/>
    <w:rsid w:val="259A3D0A"/>
    <w:rsid w:val="25A95F3E"/>
    <w:rsid w:val="25B07665"/>
    <w:rsid w:val="25BF0CF9"/>
    <w:rsid w:val="25BF6041"/>
    <w:rsid w:val="25C35718"/>
    <w:rsid w:val="25C61D8C"/>
    <w:rsid w:val="25CF0252"/>
    <w:rsid w:val="25D0248E"/>
    <w:rsid w:val="25D61C5C"/>
    <w:rsid w:val="25F81D70"/>
    <w:rsid w:val="25FB5636"/>
    <w:rsid w:val="25FE58A9"/>
    <w:rsid w:val="26006FFE"/>
    <w:rsid w:val="26026DCF"/>
    <w:rsid w:val="26070462"/>
    <w:rsid w:val="260D2C45"/>
    <w:rsid w:val="262E3CBF"/>
    <w:rsid w:val="26395C92"/>
    <w:rsid w:val="2641231E"/>
    <w:rsid w:val="264252DF"/>
    <w:rsid w:val="26465DA0"/>
    <w:rsid w:val="26562F1C"/>
    <w:rsid w:val="265A5249"/>
    <w:rsid w:val="266237C3"/>
    <w:rsid w:val="267550B9"/>
    <w:rsid w:val="26996DAE"/>
    <w:rsid w:val="26BE1846"/>
    <w:rsid w:val="26C472EC"/>
    <w:rsid w:val="26E51F4F"/>
    <w:rsid w:val="26EC491A"/>
    <w:rsid w:val="26ED73E1"/>
    <w:rsid w:val="26F503CD"/>
    <w:rsid w:val="27036506"/>
    <w:rsid w:val="27047832"/>
    <w:rsid w:val="2706037D"/>
    <w:rsid w:val="27077793"/>
    <w:rsid w:val="270D152E"/>
    <w:rsid w:val="27204B5D"/>
    <w:rsid w:val="27257DE1"/>
    <w:rsid w:val="272F31A0"/>
    <w:rsid w:val="27310CAC"/>
    <w:rsid w:val="27342901"/>
    <w:rsid w:val="273D2762"/>
    <w:rsid w:val="27470B72"/>
    <w:rsid w:val="27525E32"/>
    <w:rsid w:val="27604751"/>
    <w:rsid w:val="276D111F"/>
    <w:rsid w:val="2778582E"/>
    <w:rsid w:val="27806765"/>
    <w:rsid w:val="27821DE7"/>
    <w:rsid w:val="27832596"/>
    <w:rsid w:val="278C1620"/>
    <w:rsid w:val="279B1E53"/>
    <w:rsid w:val="27AA3521"/>
    <w:rsid w:val="27AB7429"/>
    <w:rsid w:val="27C57B2B"/>
    <w:rsid w:val="27C8029E"/>
    <w:rsid w:val="27CC78AC"/>
    <w:rsid w:val="27D72FE7"/>
    <w:rsid w:val="27D86029"/>
    <w:rsid w:val="27DD45ED"/>
    <w:rsid w:val="27E3651B"/>
    <w:rsid w:val="27E864CC"/>
    <w:rsid w:val="27EC25E3"/>
    <w:rsid w:val="27ED0939"/>
    <w:rsid w:val="27F1498B"/>
    <w:rsid w:val="27F80CA0"/>
    <w:rsid w:val="2802750E"/>
    <w:rsid w:val="28027A71"/>
    <w:rsid w:val="281D5376"/>
    <w:rsid w:val="281F4F67"/>
    <w:rsid w:val="282857E6"/>
    <w:rsid w:val="283744B4"/>
    <w:rsid w:val="283E7768"/>
    <w:rsid w:val="28485D62"/>
    <w:rsid w:val="28517107"/>
    <w:rsid w:val="28524ABE"/>
    <w:rsid w:val="285560D7"/>
    <w:rsid w:val="286E74F1"/>
    <w:rsid w:val="28760CA0"/>
    <w:rsid w:val="287B218C"/>
    <w:rsid w:val="288A05DD"/>
    <w:rsid w:val="288C7637"/>
    <w:rsid w:val="28937D89"/>
    <w:rsid w:val="289B0550"/>
    <w:rsid w:val="28A044B5"/>
    <w:rsid w:val="28A42EBB"/>
    <w:rsid w:val="28BD3F79"/>
    <w:rsid w:val="28C8606D"/>
    <w:rsid w:val="28C96C14"/>
    <w:rsid w:val="28DE11F1"/>
    <w:rsid w:val="28E138E3"/>
    <w:rsid w:val="28E74216"/>
    <w:rsid w:val="28E87EE4"/>
    <w:rsid w:val="28FD484F"/>
    <w:rsid w:val="290212AC"/>
    <w:rsid w:val="2903396A"/>
    <w:rsid w:val="294E766A"/>
    <w:rsid w:val="2952590A"/>
    <w:rsid w:val="297161D3"/>
    <w:rsid w:val="2978319A"/>
    <w:rsid w:val="29886D49"/>
    <w:rsid w:val="29897A2F"/>
    <w:rsid w:val="29A015B3"/>
    <w:rsid w:val="29A02DFF"/>
    <w:rsid w:val="29A3014B"/>
    <w:rsid w:val="29A74CBD"/>
    <w:rsid w:val="29A80BF5"/>
    <w:rsid w:val="29B01C34"/>
    <w:rsid w:val="29B16357"/>
    <w:rsid w:val="29BA0D88"/>
    <w:rsid w:val="29BB3E72"/>
    <w:rsid w:val="29CF32B2"/>
    <w:rsid w:val="29DE15A2"/>
    <w:rsid w:val="29EC475A"/>
    <w:rsid w:val="29EF3680"/>
    <w:rsid w:val="29EF424E"/>
    <w:rsid w:val="29FA7F26"/>
    <w:rsid w:val="2A0B7871"/>
    <w:rsid w:val="2A166823"/>
    <w:rsid w:val="2A35650F"/>
    <w:rsid w:val="2A405845"/>
    <w:rsid w:val="2A4562D4"/>
    <w:rsid w:val="2A4D593F"/>
    <w:rsid w:val="2A6C2D77"/>
    <w:rsid w:val="2A6E31F8"/>
    <w:rsid w:val="2A7270B7"/>
    <w:rsid w:val="2A87174E"/>
    <w:rsid w:val="2A8A2F9C"/>
    <w:rsid w:val="2AA45D17"/>
    <w:rsid w:val="2AAB3B94"/>
    <w:rsid w:val="2AAC5A06"/>
    <w:rsid w:val="2AB775FB"/>
    <w:rsid w:val="2ABB3D6F"/>
    <w:rsid w:val="2AC70B30"/>
    <w:rsid w:val="2ACC2AAF"/>
    <w:rsid w:val="2AD74744"/>
    <w:rsid w:val="2AD91AC2"/>
    <w:rsid w:val="2AE57C95"/>
    <w:rsid w:val="2AF34B3D"/>
    <w:rsid w:val="2AF35C8B"/>
    <w:rsid w:val="2B055F4D"/>
    <w:rsid w:val="2B0C0EEE"/>
    <w:rsid w:val="2B112D02"/>
    <w:rsid w:val="2B132265"/>
    <w:rsid w:val="2B214776"/>
    <w:rsid w:val="2B2843BE"/>
    <w:rsid w:val="2B313FC1"/>
    <w:rsid w:val="2B347C14"/>
    <w:rsid w:val="2B39348E"/>
    <w:rsid w:val="2B437285"/>
    <w:rsid w:val="2B494377"/>
    <w:rsid w:val="2B4D695C"/>
    <w:rsid w:val="2B514803"/>
    <w:rsid w:val="2B5E6C2A"/>
    <w:rsid w:val="2B637D4B"/>
    <w:rsid w:val="2B6B1684"/>
    <w:rsid w:val="2B7B70BF"/>
    <w:rsid w:val="2B853AF3"/>
    <w:rsid w:val="2B8B422C"/>
    <w:rsid w:val="2BA07D38"/>
    <w:rsid w:val="2BC40957"/>
    <w:rsid w:val="2BCB5DAA"/>
    <w:rsid w:val="2BD65380"/>
    <w:rsid w:val="2BD86372"/>
    <w:rsid w:val="2BDA39FD"/>
    <w:rsid w:val="2BE725D0"/>
    <w:rsid w:val="2BF369B9"/>
    <w:rsid w:val="2BFC0A4A"/>
    <w:rsid w:val="2C094904"/>
    <w:rsid w:val="2C0E55A1"/>
    <w:rsid w:val="2C1255D3"/>
    <w:rsid w:val="2C3A7BF6"/>
    <w:rsid w:val="2C425BCE"/>
    <w:rsid w:val="2C44676A"/>
    <w:rsid w:val="2C495C38"/>
    <w:rsid w:val="2C4A080C"/>
    <w:rsid w:val="2C4E77B9"/>
    <w:rsid w:val="2C54533B"/>
    <w:rsid w:val="2C591378"/>
    <w:rsid w:val="2C797A76"/>
    <w:rsid w:val="2C8B6C0E"/>
    <w:rsid w:val="2C8F4862"/>
    <w:rsid w:val="2C9E5AC8"/>
    <w:rsid w:val="2CA05674"/>
    <w:rsid w:val="2CA2721B"/>
    <w:rsid w:val="2CAC6D87"/>
    <w:rsid w:val="2CB268EE"/>
    <w:rsid w:val="2CB600FC"/>
    <w:rsid w:val="2CCB6E18"/>
    <w:rsid w:val="2CE8526F"/>
    <w:rsid w:val="2D026315"/>
    <w:rsid w:val="2D0764BD"/>
    <w:rsid w:val="2D0A3DA2"/>
    <w:rsid w:val="2D0B3169"/>
    <w:rsid w:val="2D0D4219"/>
    <w:rsid w:val="2D105AFA"/>
    <w:rsid w:val="2D2279B8"/>
    <w:rsid w:val="2D274320"/>
    <w:rsid w:val="2D2D2DE2"/>
    <w:rsid w:val="2D324CCC"/>
    <w:rsid w:val="2D340E86"/>
    <w:rsid w:val="2D395427"/>
    <w:rsid w:val="2D3A2269"/>
    <w:rsid w:val="2D3D0E02"/>
    <w:rsid w:val="2D5436FA"/>
    <w:rsid w:val="2D59263A"/>
    <w:rsid w:val="2D62469E"/>
    <w:rsid w:val="2D6B40A9"/>
    <w:rsid w:val="2D8A3FA2"/>
    <w:rsid w:val="2D9767DC"/>
    <w:rsid w:val="2D980DDC"/>
    <w:rsid w:val="2D987372"/>
    <w:rsid w:val="2DA23689"/>
    <w:rsid w:val="2DBC2A76"/>
    <w:rsid w:val="2DC66A91"/>
    <w:rsid w:val="2DC92AA1"/>
    <w:rsid w:val="2DCE5F69"/>
    <w:rsid w:val="2DD51812"/>
    <w:rsid w:val="2DD63DB4"/>
    <w:rsid w:val="2DDD4F0A"/>
    <w:rsid w:val="2E147A92"/>
    <w:rsid w:val="2E34792A"/>
    <w:rsid w:val="2E376AEB"/>
    <w:rsid w:val="2E437E73"/>
    <w:rsid w:val="2E4A5201"/>
    <w:rsid w:val="2E5034DC"/>
    <w:rsid w:val="2E572AB9"/>
    <w:rsid w:val="2E600E38"/>
    <w:rsid w:val="2E7258DC"/>
    <w:rsid w:val="2E7545D2"/>
    <w:rsid w:val="2E79458E"/>
    <w:rsid w:val="2E797A78"/>
    <w:rsid w:val="2E7A5F31"/>
    <w:rsid w:val="2E7C6A94"/>
    <w:rsid w:val="2E8321A5"/>
    <w:rsid w:val="2E8D14A8"/>
    <w:rsid w:val="2E95430E"/>
    <w:rsid w:val="2E9A2060"/>
    <w:rsid w:val="2E9F6D95"/>
    <w:rsid w:val="2EAE350B"/>
    <w:rsid w:val="2EB20A6C"/>
    <w:rsid w:val="2EBC2287"/>
    <w:rsid w:val="2EC3466D"/>
    <w:rsid w:val="2EC44440"/>
    <w:rsid w:val="2ECA3116"/>
    <w:rsid w:val="2EDD7896"/>
    <w:rsid w:val="2EE42909"/>
    <w:rsid w:val="2EEA6E65"/>
    <w:rsid w:val="2EF33C7C"/>
    <w:rsid w:val="2F00052B"/>
    <w:rsid w:val="2F0367CD"/>
    <w:rsid w:val="2F1251F2"/>
    <w:rsid w:val="2F2D445E"/>
    <w:rsid w:val="2F4B20A5"/>
    <w:rsid w:val="2F4F6FBB"/>
    <w:rsid w:val="2F664E2B"/>
    <w:rsid w:val="2F6C7BE3"/>
    <w:rsid w:val="2F783485"/>
    <w:rsid w:val="2F7A17CB"/>
    <w:rsid w:val="2F7F5C0B"/>
    <w:rsid w:val="2F895685"/>
    <w:rsid w:val="2F9A13B4"/>
    <w:rsid w:val="2FA6492D"/>
    <w:rsid w:val="2FC86676"/>
    <w:rsid w:val="2FD17A1B"/>
    <w:rsid w:val="2FD71CA4"/>
    <w:rsid w:val="2FDC4A8D"/>
    <w:rsid w:val="2FEA743A"/>
    <w:rsid w:val="2FF24D11"/>
    <w:rsid w:val="2FF93066"/>
    <w:rsid w:val="301742B2"/>
    <w:rsid w:val="301A1509"/>
    <w:rsid w:val="301A71CE"/>
    <w:rsid w:val="301D63DD"/>
    <w:rsid w:val="301E049B"/>
    <w:rsid w:val="302A4BE6"/>
    <w:rsid w:val="304478EC"/>
    <w:rsid w:val="304F4511"/>
    <w:rsid w:val="30515C8E"/>
    <w:rsid w:val="305823FF"/>
    <w:rsid w:val="30926F91"/>
    <w:rsid w:val="30962F3E"/>
    <w:rsid w:val="30A85733"/>
    <w:rsid w:val="30AA2585"/>
    <w:rsid w:val="30C16A19"/>
    <w:rsid w:val="30C262B6"/>
    <w:rsid w:val="30CB5800"/>
    <w:rsid w:val="30D32236"/>
    <w:rsid w:val="30E43E12"/>
    <w:rsid w:val="30E8513F"/>
    <w:rsid w:val="30FA7530"/>
    <w:rsid w:val="30FF2795"/>
    <w:rsid w:val="31015E30"/>
    <w:rsid w:val="310375CD"/>
    <w:rsid w:val="310854C5"/>
    <w:rsid w:val="310E6387"/>
    <w:rsid w:val="311611B3"/>
    <w:rsid w:val="311F6A53"/>
    <w:rsid w:val="313C313D"/>
    <w:rsid w:val="313F6DC6"/>
    <w:rsid w:val="314E236F"/>
    <w:rsid w:val="315C5815"/>
    <w:rsid w:val="315E0B07"/>
    <w:rsid w:val="31621F46"/>
    <w:rsid w:val="316A723C"/>
    <w:rsid w:val="316E7CA0"/>
    <w:rsid w:val="317206BF"/>
    <w:rsid w:val="317932EA"/>
    <w:rsid w:val="317E5000"/>
    <w:rsid w:val="31870868"/>
    <w:rsid w:val="31875BB4"/>
    <w:rsid w:val="31A9328B"/>
    <w:rsid w:val="31B718F2"/>
    <w:rsid w:val="31C57B88"/>
    <w:rsid w:val="31D20051"/>
    <w:rsid w:val="31E745D2"/>
    <w:rsid w:val="31EF7EE8"/>
    <w:rsid w:val="3201404F"/>
    <w:rsid w:val="320901F5"/>
    <w:rsid w:val="320B7CCB"/>
    <w:rsid w:val="32105DE8"/>
    <w:rsid w:val="322D5CC7"/>
    <w:rsid w:val="322E2721"/>
    <w:rsid w:val="3235187E"/>
    <w:rsid w:val="3237186B"/>
    <w:rsid w:val="323B6798"/>
    <w:rsid w:val="32537B57"/>
    <w:rsid w:val="325779E7"/>
    <w:rsid w:val="325F618E"/>
    <w:rsid w:val="32757E99"/>
    <w:rsid w:val="327D43E5"/>
    <w:rsid w:val="32842CF3"/>
    <w:rsid w:val="328F5534"/>
    <w:rsid w:val="329A6217"/>
    <w:rsid w:val="329A6ACE"/>
    <w:rsid w:val="329C2950"/>
    <w:rsid w:val="32A145CA"/>
    <w:rsid w:val="32A230DB"/>
    <w:rsid w:val="32B52836"/>
    <w:rsid w:val="32DF351E"/>
    <w:rsid w:val="32EE5E41"/>
    <w:rsid w:val="32F1510B"/>
    <w:rsid w:val="32F40F87"/>
    <w:rsid w:val="32F520B9"/>
    <w:rsid w:val="32FD7C76"/>
    <w:rsid w:val="330414AF"/>
    <w:rsid w:val="330C22FC"/>
    <w:rsid w:val="332A6617"/>
    <w:rsid w:val="33540E5D"/>
    <w:rsid w:val="335A0521"/>
    <w:rsid w:val="335D7182"/>
    <w:rsid w:val="335E7B11"/>
    <w:rsid w:val="3364318B"/>
    <w:rsid w:val="33691888"/>
    <w:rsid w:val="336A499A"/>
    <w:rsid w:val="33714830"/>
    <w:rsid w:val="33737F51"/>
    <w:rsid w:val="337964FF"/>
    <w:rsid w:val="337D34FB"/>
    <w:rsid w:val="337E2DAF"/>
    <w:rsid w:val="33A47053"/>
    <w:rsid w:val="33AD5111"/>
    <w:rsid w:val="33BF4199"/>
    <w:rsid w:val="33CD23A8"/>
    <w:rsid w:val="33CD6498"/>
    <w:rsid w:val="33D7554F"/>
    <w:rsid w:val="33D825FA"/>
    <w:rsid w:val="33FE62E7"/>
    <w:rsid w:val="34080399"/>
    <w:rsid w:val="340D25F6"/>
    <w:rsid w:val="341E19AD"/>
    <w:rsid w:val="3429226D"/>
    <w:rsid w:val="342B76C7"/>
    <w:rsid w:val="343A1527"/>
    <w:rsid w:val="34447898"/>
    <w:rsid w:val="344E62FA"/>
    <w:rsid w:val="34542DE9"/>
    <w:rsid w:val="34542E46"/>
    <w:rsid w:val="346C4879"/>
    <w:rsid w:val="346D7DEA"/>
    <w:rsid w:val="3472234D"/>
    <w:rsid w:val="347D500F"/>
    <w:rsid w:val="34830157"/>
    <w:rsid w:val="34872D27"/>
    <w:rsid w:val="348E58C4"/>
    <w:rsid w:val="349164BD"/>
    <w:rsid w:val="3495237E"/>
    <w:rsid w:val="3499657C"/>
    <w:rsid w:val="34A52713"/>
    <w:rsid w:val="34BD02AE"/>
    <w:rsid w:val="34C20DC7"/>
    <w:rsid w:val="34DA26A8"/>
    <w:rsid w:val="34DE2B9F"/>
    <w:rsid w:val="34DF0124"/>
    <w:rsid w:val="34E145D2"/>
    <w:rsid w:val="34E75EA5"/>
    <w:rsid w:val="34E960F1"/>
    <w:rsid w:val="350A65C4"/>
    <w:rsid w:val="350B42D5"/>
    <w:rsid w:val="350F6258"/>
    <w:rsid w:val="351A603C"/>
    <w:rsid w:val="352821F6"/>
    <w:rsid w:val="3533698A"/>
    <w:rsid w:val="35387F19"/>
    <w:rsid w:val="3539550B"/>
    <w:rsid w:val="354D5E0E"/>
    <w:rsid w:val="355D10E3"/>
    <w:rsid w:val="356150BC"/>
    <w:rsid w:val="356678B4"/>
    <w:rsid w:val="3573649F"/>
    <w:rsid w:val="357E4B0A"/>
    <w:rsid w:val="35866D7F"/>
    <w:rsid w:val="358F6BDF"/>
    <w:rsid w:val="35A440D7"/>
    <w:rsid w:val="35C06D50"/>
    <w:rsid w:val="35CD6F14"/>
    <w:rsid w:val="35D24294"/>
    <w:rsid w:val="35D71152"/>
    <w:rsid w:val="35F629BD"/>
    <w:rsid w:val="35FF6F3C"/>
    <w:rsid w:val="3600359A"/>
    <w:rsid w:val="36075F27"/>
    <w:rsid w:val="36121506"/>
    <w:rsid w:val="36180A4A"/>
    <w:rsid w:val="361D7A43"/>
    <w:rsid w:val="361E658D"/>
    <w:rsid w:val="361F3323"/>
    <w:rsid w:val="363019EB"/>
    <w:rsid w:val="36326D0C"/>
    <w:rsid w:val="36402EFA"/>
    <w:rsid w:val="36496A51"/>
    <w:rsid w:val="364F7CD0"/>
    <w:rsid w:val="36535FD0"/>
    <w:rsid w:val="365623F6"/>
    <w:rsid w:val="366B1251"/>
    <w:rsid w:val="366C7E67"/>
    <w:rsid w:val="368230C6"/>
    <w:rsid w:val="36843A03"/>
    <w:rsid w:val="368F7E4F"/>
    <w:rsid w:val="36985297"/>
    <w:rsid w:val="369F633B"/>
    <w:rsid w:val="36A30FDB"/>
    <w:rsid w:val="36A7007C"/>
    <w:rsid w:val="36B24AE8"/>
    <w:rsid w:val="36BD0DC4"/>
    <w:rsid w:val="36D51D00"/>
    <w:rsid w:val="36D66B5E"/>
    <w:rsid w:val="36D86634"/>
    <w:rsid w:val="36DE4AF9"/>
    <w:rsid w:val="36E93760"/>
    <w:rsid w:val="36F4550C"/>
    <w:rsid w:val="36FB4305"/>
    <w:rsid w:val="3708597F"/>
    <w:rsid w:val="3709624C"/>
    <w:rsid w:val="37096815"/>
    <w:rsid w:val="370F7060"/>
    <w:rsid w:val="37134801"/>
    <w:rsid w:val="37173233"/>
    <w:rsid w:val="371C344E"/>
    <w:rsid w:val="37226558"/>
    <w:rsid w:val="3734159D"/>
    <w:rsid w:val="37382526"/>
    <w:rsid w:val="373B4C89"/>
    <w:rsid w:val="37503E6C"/>
    <w:rsid w:val="3758590A"/>
    <w:rsid w:val="375E77B2"/>
    <w:rsid w:val="37602E60"/>
    <w:rsid w:val="37611796"/>
    <w:rsid w:val="37625C1C"/>
    <w:rsid w:val="377519F1"/>
    <w:rsid w:val="377B528D"/>
    <w:rsid w:val="377D206E"/>
    <w:rsid w:val="377D4DA8"/>
    <w:rsid w:val="378229A7"/>
    <w:rsid w:val="37824462"/>
    <w:rsid w:val="3784394E"/>
    <w:rsid w:val="37946975"/>
    <w:rsid w:val="37987437"/>
    <w:rsid w:val="379F33FC"/>
    <w:rsid w:val="37A432E4"/>
    <w:rsid w:val="37A86196"/>
    <w:rsid w:val="37C94031"/>
    <w:rsid w:val="37CA042E"/>
    <w:rsid w:val="37D44549"/>
    <w:rsid w:val="37D77B09"/>
    <w:rsid w:val="37D931A8"/>
    <w:rsid w:val="37D97EDE"/>
    <w:rsid w:val="37E76E34"/>
    <w:rsid w:val="380632B2"/>
    <w:rsid w:val="380D02B1"/>
    <w:rsid w:val="381C3EB1"/>
    <w:rsid w:val="382B1BDF"/>
    <w:rsid w:val="382E392C"/>
    <w:rsid w:val="38310B25"/>
    <w:rsid w:val="38342E90"/>
    <w:rsid w:val="38451B7E"/>
    <w:rsid w:val="384B7332"/>
    <w:rsid w:val="384E20F8"/>
    <w:rsid w:val="385056AF"/>
    <w:rsid w:val="386A7142"/>
    <w:rsid w:val="386E0B2C"/>
    <w:rsid w:val="38706DCB"/>
    <w:rsid w:val="388E5848"/>
    <w:rsid w:val="389E7B13"/>
    <w:rsid w:val="38A341A7"/>
    <w:rsid w:val="38AF6B7E"/>
    <w:rsid w:val="38BD240C"/>
    <w:rsid w:val="38BD31EE"/>
    <w:rsid w:val="38C05985"/>
    <w:rsid w:val="38C2629A"/>
    <w:rsid w:val="38CB3BDF"/>
    <w:rsid w:val="38CD22F1"/>
    <w:rsid w:val="38D33D29"/>
    <w:rsid w:val="38D41CCF"/>
    <w:rsid w:val="38E40A5B"/>
    <w:rsid w:val="38E51952"/>
    <w:rsid w:val="38F16A28"/>
    <w:rsid w:val="38FE050D"/>
    <w:rsid w:val="3913128B"/>
    <w:rsid w:val="391A3359"/>
    <w:rsid w:val="39285D57"/>
    <w:rsid w:val="39315D4D"/>
    <w:rsid w:val="394B6470"/>
    <w:rsid w:val="395C6EA8"/>
    <w:rsid w:val="39872512"/>
    <w:rsid w:val="39A602F9"/>
    <w:rsid w:val="39BD45C8"/>
    <w:rsid w:val="39C2316A"/>
    <w:rsid w:val="39F36281"/>
    <w:rsid w:val="39FD376D"/>
    <w:rsid w:val="39FD6C9C"/>
    <w:rsid w:val="3A0224B9"/>
    <w:rsid w:val="3A14011B"/>
    <w:rsid w:val="3A1509F4"/>
    <w:rsid w:val="3A16728B"/>
    <w:rsid w:val="3A16794C"/>
    <w:rsid w:val="3A1F6809"/>
    <w:rsid w:val="3A226969"/>
    <w:rsid w:val="3A3F47CE"/>
    <w:rsid w:val="3A410243"/>
    <w:rsid w:val="3A4E1C5D"/>
    <w:rsid w:val="3A523735"/>
    <w:rsid w:val="3A557AE4"/>
    <w:rsid w:val="3A6B0F84"/>
    <w:rsid w:val="3A727435"/>
    <w:rsid w:val="3A813EA6"/>
    <w:rsid w:val="3A94055A"/>
    <w:rsid w:val="3AB00167"/>
    <w:rsid w:val="3AC17E3A"/>
    <w:rsid w:val="3ACB5746"/>
    <w:rsid w:val="3ACE209E"/>
    <w:rsid w:val="3AD450E7"/>
    <w:rsid w:val="3ADD2B05"/>
    <w:rsid w:val="3AE36EC1"/>
    <w:rsid w:val="3AE417E3"/>
    <w:rsid w:val="3AE440AF"/>
    <w:rsid w:val="3AF7667E"/>
    <w:rsid w:val="3B113F51"/>
    <w:rsid w:val="3B192990"/>
    <w:rsid w:val="3B251957"/>
    <w:rsid w:val="3B2D3716"/>
    <w:rsid w:val="3B307112"/>
    <w:rsid w:val="3B307FDD"/>
    <w:rsid w:val="3B3E5BDD"/>
    <w:rsid w:val="3B552653"/>
    <w:rsid w:val="3B5A2A22"/>
    <w:rsid w:val="3B707794"/>
    <w:rsid w:val="3B7804A3"/>
    <w:rsid w:val="3B8E2153"/>
    <w:rsid w:val="3B9B2072"/>
    <w:rsid w:val="3BA03B83"/>
    <w:rsid w:val="3BA91F03"/>
    <w:rsid w:val="3BB16FA6"/>
    <w:rsid w:val="3BB17CE6"/>
    <w:rsid w:val="3BB20883"/>
    <w:rsid w:val="3BB448B0"/>
    <w:rsid w:val="3BC34E75"/>
    <w:rsid w:val="3BCB270F"/>
    <w:rsid w:val="3BD569C2"/>
    <w:rsid w:val="3BD96AA6"/>
    <w:rsid w:val="3BDB053C"/>
    <w:rsid w:val="3BED002E"/>
    <w:rsid w:val="3C0429BF"/>
    <w:rsid w:val="3C066389"/>
    <w:rsid w:val="3C0D66FC"/>
    <w:rsid w:val="3C120C48"/>
    <w:rsid w:val="3C1A201A"/>
    <w:rsid w:val="3C276807"/>
    <w:rsid w:val="3C3274E5"/>
    <w:rsid w:val="3C371D4B"/>
    <w:rsid w:val="3C382561"/>
    <w:rsid w:val="3C3B4B9D"/>
    <w:rsid w:val="3C413C82"/>
    <w:rsid w:val="3C471C36"/>
    <w:rsid w:val="3C4B0140"/>
    <w:rsid w:val="3C4D66ED"/>
    <w:rsid w:val="3C577D11"/>
    <w:rsid w:val="3C5A6B66"/>
    <w:rsid w:val="3C734413"/>
    <w:rsid w:val="3C7A6E5A"/>
    <w:rsid w:val="3C982C18"/>
    <w:rsid w:val="3CA734F8"/>
    <w:rsid w:val="3CA95F71"/>
    <w:rsid w:val="3CB33ABD"/>
    <w:rsid w:val="3CC16893"/>
    <w:rsid w:val="3CC74223"/>
    <w:rsid w:val="3CC828D0"/>
    <w:rsid w:val="3CCB43BE"/>
    <w:rsid w:val="3CDA6EE3"/>
    <w:rsid w:val="3CDB5F96"/>
    <w:rsid w:val="3CE23F49"/>
    <w:rsid w:val="3CEC39B8"/>
    <w:rsid w:val="3CF20887"/>
    <w:rsid w:val="3CF37919"/>
    <w:rsid w:val="3CF720E3"/>
    <w:rsid w:val="3CF72D6A"/>
    <w:rsid w:val="3CF76813"/>
    <w:rsid w:val="3CF86D06"/>
    <w:rsid w:val="3D00620E"/>
    <w:rsid w:val="3D035226"/>
    <w:rsid w:val="3D0E4AD7"/>
    <w:rsid w:val="3D31576C"/>
    <w:rsid w:val="3D316CDB"/>
    <w:rsid w:val="3D3768D2"/>
    <w:rsid w:val="3D3A3838"/>
    <w:rsid w:val="3D3D6BBD"/>
    <w:rsid w:val="3D450F8C"/>
    <w:rsid w:val="3D477118"/>
    <w:rsid w:val="3D51285A"/>
    <w:rsid w:val="3D594E54"/>
    <w:rsid w:val="3D62706F"/>
    <w:rsid w:val="3D6E2272"/>
    <w:rsid w:val="3D7C727A"/>
    <w:rsid w:val="3D81786B"/>
    <w:rsid w:val="3D830417"/>
    <w:rsid w:val="3D877AC5"/>
    <w:rsid w:val="3D882D35"/>
    <w:rsid w:val="3D8D2848"/>
    <w:rsid w:val="3D94235D"/>
    <w:rsid w:val="3D9461E1"/>
    <w:rsid w:val="3DAF37B0"/>
    <w:rsid w:val="3DB34E86"/>
    <w:rsid w:val="3DB80A86"/>
    <w:rsid w:val="3DBE6A34"/>
    <w:rsid w:val="3DC00481"/>
    <w:rsid w:val="3DDA3E19"/>
    <w:rsid w:val="3DED0F96"/>
    <w:rsid w:val="3DF130D5"/>
    <w:rsid w:val="3DF95812"/>
    <w:rsid w:val="3E0040D9"/>
    <w:rsid w:val="3E1328D6"/>
    <w:rsid w:val="3E1B7668"/>
    <w:rsid w:val="3E1D4B24"/>
    <w:rsid w:val="3E314520"/>
    <w:rsid w:val="3E3A04FA"/>
    <w:rsid w:val="3E3D6B96"/>
    <w:rsid w:val="3E3F202E"/>
    <w:rsid w:val="3E441C7D"/>
    <w:rsid w:val="3E490256"/>
    <w:rsid w:val="3E4C2EC5"/>
    <w:rsid w:val="3E55739E"/>
    <w:rsid w:val="3E6C43C8"/>
    <w:rsid w:val="3E8227F0"/>
    <w:rsid w:val="3E937F82"/>
    <w:rsid w:val="3E9B4B40"/>
    <w:rsid w:val="3EB71AC8"/>
    <w:rsid w:val="3EC85E34"/>
    <w:rsid w:val="3ECF2AAC"/>
    <w:rsid w:val="3ED0424C"/>
    <w:rsid w:val="3ED07B7E"/>
    <w:rsid w:val="3EE13DB5"/>
    <w:rsid w:val="3EF31E7F"/>
    <w:rsid w:val="3EF36DF0"/>
    <w:rsid w:val="3F035EE1"/>
    <w:rsid w:val="3F053EF6"/>
    <w:rsid w:val="3F093188"/>
    <w:rsid w:val="3F0C1E13"/>
    <w:rsid w:val="3F173F6B"/>
    <w:rsid w:val="3F1E1DE8"/>
    <w:rsid w:val="3F253B0C"/>
    <w:rsid w:val="3F2C04C4"/>
    <w:rsid w:val="3F3E7C9F"/>
    <w:rsid w:val="3F416B99"/>
    <w:rsid w:val="3F4F5AD7"/>
    <w:rsid w:val="3F643908"/>
    <w:rsid w:val="3F6828C2"/>
    <w:rsid w:val="3F6A46DC"/>
    <w:rsid w:val="3F6B75A6"/>
    <w:rsid w:val="3F884CAB"/>
    <w:rsid w:val="3F8C0A49"/>
    <w:rsid w:val="3F8E7DCD"/>
    <w:rsid w:val="3F913853"/>
    <w:rsid w:val="3F93357F"/>
    <w:rsid w:val="3F9660C3"/>
    <w:rsid w:val="3F9724DD"/>
    <w:rsid w:val="3F9C79E3"/>
    <w:rsid w:val="3FA827ED"/>
    <w:rsid w:val="3FB45C58"/>
    <w:rsid w:val="3FBA1D11"/>
    <w:rsid w:val="3FC36557"/>
    <w:rsid w:val="3FC956FF"/>
    <w:rsid w:val="3FCA67EB"/>
    <w:rsid w:val="3FD13F50"/>
    <w:rsid w:val="3FDC5F31"/>
    <w:rsid w:val="3FE04625"/>
    <w:rsid w:val="3FE86CE8"/>
    <w:rsid w:val="3FEF3DCD"/>
    <w:rsid w:val="3FF148F7"/>
    <w:rsid w:val="3FFB0F66"/>
    <w:rsid w:val="400E6DDA"/>
    <w:rsid w:val="40146E6B"/>
    <w:rsid w:val="40225B50"/>
    <w:rsid w:val="403052F1"/>
    <w:rsid w:val="40330D29"/>
    <w:rsid w:val="404469FD"/>
    <w:rsid w:val="404A2717"/>
    <w:rsid w:val="404E779F"/>
    <w:rsid w:val="4059090D"/>
    <w:rsid w:val="4065170A"/>
    <w:rsid w:val="406966BC"/>
    <w:rsid w:val="406C4DFB"/>
    <w:rsid w:val="406E5CAB"/>
    <w:rsid w:val="40713C35"/>
    <w:rsid w:val="40823B87"/>
    <w:rsid w:val="408355D6"/>
    <w:rsid w:val="408376F8"/>
    <w:rsid w:val="40A163F1"/>
    <w:rsid w:val="40A25054"/>
    <w:rsid w:val="40A325E0"/>
    <w:rsid w:val="40AE7A15"/>
    <w:rsid w:val="40B41AE2"/>
    <w:rsid w:val="40B62C30"/>
    <w:rsid w:val="40B7228C"/>
    <w:rsid w:val="40BD0DA1"/>
    <w:rsid w:val="40EC7D18"/>
    <w:rsid w:val="40ED11A0"/>
    <w:rsid w:val="40FD1BF0"/>
    <w:rsid w:val="41015E92"/>
    <w:rsid w:val="41096BC0"/>
    <w:rsid w:val="410A75B6"/>
    <w:rsid w:val="410B452A"/>
    <w:rsid w:val="41146D26"/>
    <w:rsid w:val="411B6EDC"/>
    <w:rsid w:val="413353F1"/>
    <w:rsid w:val="414C0B0E"/>
    <w:rsid w:val="41513BC9"/>
    <w:rsid w:val="41735B7F"/>
    <w:rsid w:val="419302E2"/>
    <w:rsid w:val="419E558F"/>
    <w:rsid w:val="419E60D3"/>
    <w:rsid w:val="41A339F5"/>
    <w:rsid w:val="41A36C7E"/>
    <w:rsid w:val="41AA4A84"/>
    <w:rsid w:val="41C45B38"/>
    <w:rsid w:val="41C93F6C"/>
    <w:rsid w:val="41D5139D"/>
    <w:rsid w:val="41D75714"/>
    <w:rsid w:val="41DD3BC3"/>
    <w:rsid w:val="41E535F4"/>
    <w:rsid w:val="41EE2F03"/>
    <w:rsid w:val="41F466FD"/>
    <w:rsid w:val="42002BC7"/>
    <w:rsid w:val="42026B03"/>
    <w:rsid w:val="420C60D5"/>
    <w:rsid w:val="420D197F"/>
    <w:rsid w:val="42130DE5"/>
    <w:rsid w:val="42187EBE"/>
    <w:rsid w:val="42201DD7"/>
    <w:rsid w:val="42240D3F"/>
    <w:rsid w:val="42273D8C"/>
    <w:rsid w:val="4227435A"/>
    <w:rsid w:val="424154E1"/>
    <w:rsid w:val="42494A4D"/>
    <w:rsid w:val="424B5824"/>
    <w:rsid w:val="42616DD3"/>
    <w:rsid w:val="426973AD"/>
    <w:rsid w:val="426F56CA"/>
    <w:rsid w:val="42702D0D"/>
    <w:rsid w:val="427A67A1"/>
    <w:rsid w:val="427E0B36"/>
    <w:rsid w:val="429F2355"/>
    <w:rsid w:val="42A03D98"/>
    <w:rsid w:val="42A729F1"/>
    <w:rsid w:val="42B94BC1"/>
    <w:rsid w:val="42BE4DAE"/>
    <w:rsid w:val="42BF61B0"/>
    <w:rsid w:val="42C30254"/>
    <w:rsid w:val="42C42A08"/>
    <w:rsid w:val="42D064B1"/>
    <w:rsid w:val="42D41F6D"/>
    <w:rsid w:val="42DE48A3"/>
    <w:rsid w:val="42E16058"/>
    <w:rsid w:val="42F17BF5"/>
    <w:rsid w:val="42F87EC9"/>
    <w:rsid w:val="42FA45BF"/>
    <w:rsid w:val="430E7E66"/>
    <w:rsid w:val="431C44AA"/>
    <w:rsid w:val="43296963"/>
    <w:rsid w:val="4332317A"/>
    <w:rsid w:val="433246A0"/>
    <w:rsid w:val="433F6B54"/>
    <w:rsid w:val="43424AD7"/>
    <w:rsid w:val="4346543A"/>
    <w:rsid w:val="43533E29"/>
    <w:rsid w:val="43561E16"/>
    <w:rsid w:val="435B1259"/>
    <w:rsid w:val="436263D5"/>
    <w:rsid w:val="43735990"/>
    <w:rsid w:val="437556C4"/>
    <w:rsid w:val="43874CD4"/>
    <w:rsid w:val="439B699F"/>
    <w:rsid w:val="439D3E18"/>
    <w:rsid w:val="43AF2D32"/>
    <w:rsid w:val="43B13512"/>
    <w:rsid w:val="43B76E4F"/>
    <w:rsid w:val="43CF0206"/>
    <w:rsid w:val="43D50BA1"/>
    <w:rsid w:val="43D85D6D"/>
    <w:rsid w:val="43EC6F1F"/>
    <w:rsid w:val="43F62672"/>
    <w:rsid w:val="43FE44BA"/>
    <w:rsid w:val="43FE63A7"/>
    <w:rsid w:val="440D5045"/>
    <w:rsid w:val="440F6C97"/>
    <w:rsid w:val="44300615"/>
    <w:rsid w:val="44371929"/>
    <w:rsid w:val="443740AF"/>
    <w:rsid w:val="44480935"/>
    <w:rsid w:val="444851FA"/>
    <w:rsid w:val="445E4DEE"/>
    <w:rsid w:val="44640994"/>
    <w:rsid w:val="446B0434"/>
    <w:rsid w:val="44756A66"/>
    <w:rsid w:val="447E4EBE"/>
    <w:rsid w:val="447F0CBA"/>
    <w:rsid w:val="4491630F"/>
    <w:rsid w:val="44957F46"/>
    <w:rsid w:val="44994CF5"/>
    <w:rsid w:val="44AF6578"/>
    <w:rsid w:val="44B463D5"/>
    <w:rsid w:val="44C90753"/>
    <w:rsid w:val="44DC46EB"/>
    <w:rsid w:val="44EA6491"/>
    <w:rsid w:val="44F03F8F"/>
    <w:rsid w:val="44F14ECF"/>
    <w:rsid w:val="45042FB1"/>
    <w:rsid w:val="45162B93"/>
    <w:rsid w:val="45234E43"/>
    <w:rsid w:val="45275172"/>
    <w:rsid w:val="45332511"/>
    <w:rsid w:val="45370B65"/>
    <w:rsid w:val="453F44DA"/>
    <w:rsid w:val="45412C46"/>
    <w:rsid w:val="454D3110"/>
    <w:rsid w:val="45514AD5"/>
    <w:rsid w:val="4552412E"/>
    <w:rsid w:val="45570907"/>
    <w:rsid w:val="455908C0"/>
    <w:rsid w:val="45743BE6"/>
    <w:rsid w:val="4575513B"/>
    <w:rsid w:val="45761EDD"/>
    <w:rsid w:val="457A7286"/>
    <w:rsid w:val="457B06AA"/>
    <w:rsid w:val="457C7D39"/>
    <w:rsid w:val="458667C4"/>
    <w:rsid w:val="458F5163"/>
    <w:rsid w:val="459405E3"/>
    <w:rsid w:val="459C5A47"/>
    <w:rsid w:val="45A82F38"/>
    <w:rsid w:val="45B047D1"/>
    <w:rsid w:val="45B77545"/>
    <w:rsid w:val="45BE6191"/>
    <w:rsid w:val="45BE648C"/>
    <w:rsid w:val="45C661BC"/>
    <w:rsid w:val="45CA082F"/>
    <w:rsid w:val="45CD2126"/>
    <w:rsid w:val="45CF358A"/>
    <w:rsid w:val="45DD738A"/>
    <w:rsid w:val="45E372CD"/>
    <w:rsid w:val="45FB2D6A"/>
    <w:rsid w:val="460C5979"/>
    <w:rsid w:val="46110AB3"/>
    <w:rsid w:val="46143B66"/>
    <w:rsid w:val="4615371C"/>
    <w:rsid w:val="46214325"/>
    <w:rsid w:val="463246EC"/>
    <w:rsid w:val="463425D3"/>
    <w:rsid w:val="463A3547"/>
    <w:rsid w:val="46400CD1"/>
    <w:rsid w:val="464B28C8"/>
    <w:rsid w:val="464E0973"/>
    <w:rsid w:val="46555DC3"/>
    <w:rsid w:val="46617DB2"/>
    <w:rsid w:val="46621065"/>
    <w:rsid w:val="46665198"/>
    <w:rsid w:val="46697236"/>
    <w:rsid w:val="46770F8B"/>
    <w:rsid w:val="467C16FA"/>
    <w:rsid w:val="46842633"/>
    <w:rsid w:val="46875964"/>
    <w:rsid w:val="46894B18"/>
    <w:rsid w:val="469448C6"/>
    <w:rsid w:val="46AB0067"/>
    <w:rsid w:val="46B80AF8"/>
    <w:rsid w:val="46D37F0B"/>
    <w:rsid w:val="46D6030E"/>
    <w:rsid w:val="46D71533"/>
    <w:rsid w:val="46E53335"/>
    <w:rsid w:val="46E544E3"/>
    <w:rsid w:val="46E87DBA"/>
    <w:rsid w:val="46EE15F6"/>
    <w:rsid w:val="46EE2CC7"/>
    <w:rsid w:val="46FA7468"/>
    <w:rsid w:val="470F7B86"/>
    <w:rsid w:val="47155D89"/>
    <w:rsid w:val="473069AF"/>
    <w:rsid w:val="47356ECD"/>
    <w:rsid w:val="474A0EAF"/>
    <w:rsid w:val="474E50BE"/>
    <w:rsid w:val="476700F2"/>
    <w:rsid w:val="47696F9C"/>
    <w:rsid w:val="47714F1F"/>
    <w:rsid w:val="47725A17"/>
    <w:rsid w:val="477D3243"/>
    <w:rsid w:val="478821A1"/>
    <w:rsid w:val="479128A9"/>
    <w:rsid w:val="47975EDC"/>
    <w:rsid w:val="47983B19"/>
    <w:rsid w:val="479E2C8A"/>
    <w:rsid w:val="47A3609D"/>
    <w:rsid w:val="47C01792"/>
    <w:rsid w:val="47C57A48"/>
    <w:rsid w:val="47D511BD"/>
    <w:rsid w:val="4808150F"/>
    <w:rsid w:val="480F51A8"/>
    <w:rsid w:val="481604F9"/>
    <w:rsid w:val="481A006F"/>
    <w:rsid w:val="48256B1B"/>
    <w:rsid w:val="48282713"/>
    <w:rsid w:val="482A6E62"/>
    <w:rsid w:val="484417FA"/>
    <w:rsid w:val="48450ECE"/>
    <w:rsid w:val="484759CD"/>
    <w:rsid w:val="484B14EC"/>
    <w:rsid w:val="48602710"/>
    <w:rsid w:val="48713351"/>
    <w:rsid w:val="48802846"/>
    <w:rsid w:val="488260F9"/>
    <w:rsid w:val="48850157"/>
    <w:rsid w:val="48A71C34"/>
    <w:rsid w:val="48A736CF"/>
    <w:rsid w:val="48B116EA"/>
    <w:rsid w:val="48B74C7A"/>
    <w:rsid w:val="48B95FE2"/>
    <w:rsid w:val="48BE32BF"/>
    <w:rsid w:val="48C354EC"/>
    <w:rsid w:val="48D429DD"/>
    <w:rsid w:val="48E01C77"/>
    <w:rsid w:val="48E22285"/>
    <w:rsid w:val="48E50D90"/>
    <w:rsid w:val="48EB0B49"/>
    <w:rsid w:val="48EB0D16"/>
    <w:rsid w:val="48FA15CC"/>
    <w:rsid w:val="48FF0DD1"/>
    <w:rsid w:val="490F071A"/>
    <w:rsid w:val="491B63DF"/>
    <w:rsid w:val="491D63E9"/>
    <w:rsid w:val="4932285C"/>
    <w:rsid w:val="49331971"/>
    <w:rsid w:val="49384E02"/>
    <w:rsid w:val="493E2F78"/>
    <w:rsid w:val="493F3A9E"/>
    <w:rsid w:val="495217DF"/>
    <w:rsid w:val="4958367A"/>
    <w:rsid w:val="4960425F"/>
    <w:rsid w:val="498A16CD"/>
    <w:rsid w:val="498A7FB5"/>
    <w:rsid w:val="499145D9"/>
    <w:rsid w:val="49A33C27"/>
    <w:rsid w:val="49A750B5"/>
    <w:rsid w:val="49B93B41"/>
    <w:rsid w:val="49BE07DA"/>
    <w:rsid w:val="49C32414"/>
    <w:rsid w:val="49C84AA0"/>
    <w:rsid w:val="49CA7400"/>
    <w:rsid w:val="49D7694D"/>
    <w:rsid w:val="49D87799"/>
    <w:rsid w:val="49F400AC"/>
    <w:rsid w:val="49F9104E"/>
    <w:rsid w:val="4A0244D3"/>
    <w:rsid w:val="4A255046"/>
    <w:rsid w:val="4A2E1525"/>
    <w:rsid w:val="4A5A756D"/>
    <w:rsid w:val="4A722B4C"/>
    <w:rsid w:val="4A785772"/>
    <w:rsid w:val="4A7A7433"/>
    <w:rsid w:val="4A842E43"/>
    <w:rsid w:val="4A886D1D"/>
    <w:rsid w:val="4A89105B"/>
    <w:rsid w:val="4AA341CC"/>
    <w:rsid w:val="4AC13295"/>
    <w:rsid w:val="4AC31003"/>
    <w:rsid w:val="4AC40F4C"/>
    <w:rsid w:val="4AD25F33"/>
    <w:rsid w:val="4AD763B8"/>
    <w:rsid w:val="4ADD641F"/>
    <w:rsid w:val="4AE072CB"/>
    <w:rsid w:val="4AE93159"/>
    <w:rsid w:val="4AF02EA1"/>
    <w:rsid w:val="4B0428AF"/>
    <w:rsid w:val="4B174032"/>
    <w:rsid w:val="4B1D7328"/>
    <w:rsid w:val="4B250CF8"/>
    <w:rsid w:val="4B2873FD"/>
    <w:rsid w:val="4B3D4DE9"/>
    <w:rsid w:val="4B5B2C7E"/>
    <w:rsid w:val="4B6F1D56"/>
    <w:rsid w:val="4B7C4100"/>
    <w:rsid w:val="4B830F9B"/>
    <w:rsid w:val="4B8F2DD0"/>
    <w:rsid w:val="4B9B06E8"/>
    <w:rsid w:val="4B9B0C47"/>
    <w:rsid w:val="4B9D4011"/>
    <w:rsid w:val="4BA34CD3"/>
    <w:rsid w:val="4BB36BDD"/>
    <w:rsid w:val="4BB60507"/>
    <w:rsid w:val="4BC32290"/>
    <w:rsid w:val="4BC64C9C"/>
    <w:rsid w:val="4BD0339A"/>
    <w:rsid w:val="4BE53FD4"/>
    <w:rsid w:val="4BF32495"/>
    <w:rsid w:val="4BFA131A"/>
    <w:rsid w:val="4BFA3FA2"/>
    <w:rsid w:val="4C1905D9"/>
    <w:rsid w:val="4C2910DF"/>
    <w:rsid w:val="4C2B4DDD"/>
    <w:rsid w:val="4C336177"/>
    <w:rsid w:val="4C471A55"/>
    <w:rsid w:val="4C562920"/>
    <w:rsid w:val="4C5D1F92"/>
    <w:rsid w:val="4C603F16"/>
    <w:rsid w:val="4C6262E0"/>
    <w:rsid w:val="4C6703A3"/>
    <w:rsid w:val="4C6D7518"/>
    <w:rsid w:val="4C8C1682"/>
    <w:rsid w:val="4C923A72"/>
    <w:rsid w:val="4CB531CC"/>
    <w:rsid w:val="4CB80C32"/>
    <w:rsid w:val="4CB96B0F"/>
    <w:rsid w:val="4CBD582C"/>
    <w:rsid w:val="4CC21369"/>
    <w:rsid w:val="4CD1735E"/>
    <w:rsid w:val="4CE34E9F"/>
    <w:rsid w:val="4CF52D94"/>
    <w:rsid w:val="4D075911"/>
    <w:rsid w:val="4D0C6B0F"/>
    <w:rsid w:val="4D1216BD"/>
    <w:rsid w:val="4D231A3E"/>
    <w:rsid w:val="4D2822A5"/>
    <w:rsid w:val="4D3C254D"/>
    <w:rsid w:val="4D4001E4"/>
    <w:rsid w:val="4D462159"/>
    <w:rsid w:val="4D47409F"/>
    <w:rsid w:val="4D525BE3"/>
    <w:rsid w:val="4D566017"/>
    <w:rsid w:val="4D6022FC"/>
    <w:rsid w:val="4D7D3EFB"/>
    <w:rsid w:val="4D883EF9"/>
    <w:rsid w:val="4D8B0123"/>
    <w:rsid w:val="4DAF14C5"/>
    <w:rsid w:val="4DB9067A"/>
    <w:rsid w:val="4DC605B6"/>
    <w:rsid w:val="4DD732D2"/>
    <w:rsid w:val="4DEC0985"/>
    <w:rsid w:val="4E000105"/>
    <w:rsid w:val="4E0538A3"/>
    <w:rsid w:val="4E0E6818"/>
    <w:rsid w:val="4E1061A1"/>
    <w:rsid w:val="4E27683A"/>
    <w:rsid w:val="4E321D35"/>
    <w:rsid w:val="4E397241"/>
    <w:rsid w:val="4E3C1DE4"/>
    <w:rsid w:val="4E464E00"/>
    <w:rsid w:val="4E4C50A3"/>
    <w:rsid w:val="4E510698"/>
    <w:rsid w:val="4E576363"/>
    <w:rsid w:val="4E5D49B1"/>
    <w:rsid w:val="4E635567"/>
    <w:rsid w:val="4E674786"/>
    <w:rsid w:val="4E6D0F25"/>
    <w:rsid w:val="4E6F309C"/>
    <w:rsid w:val="4E710F05"/>
    <w:rsid w:val="4E742982"/>
    <w:rsid w:val="4E7F1E8F"/>
    <w:rsid w:val="4E862481"/>
    <w:rsid w:val="4E93511F"/>
    <w:rsid w:val="4E9C0636"/>
    <w:rsid w:val="4E9D29FB"/>
    <w:rsid w:val="4EA30DB6"/>
    <w:rsid w:val="4EA7341F"/>
    <w:rsid w:val="4EB35A3D"/>
    <w:rsid w:val="4EC312E8"/>
    <w:rsid w:val="4ECD2AFD"/>
    <w:rsid w:val="4EDB58B2"/>
    <w:rsid w:val="4EE925CE"/>
    <w:rsid w:val="4EEB1A94"/>
    <w:rsid w:val="4EEF2E30"/>
    <w:rsid w:val="4EF24828"/>
    <w:rsid w:val="4EFE7F59"/>
    <w:rsid w:val="4F0557AF"/>
    <w:rsid w:val="4F285975"/>
    <w:rsid w:val="4F2A7BF3"/>
    <w:rsid w:val="4F2E2624"/>
    <w:rsid w:val="4F4E1077"/>
    <w:rsid w:val="4F546156"/>
    <w:rsid w:val="4F844A99"/>
    <w:rsid w:val="4F94662C"/>
    <w:rsid w:val="4FAB774E"/>
    <w:rsid w:val="4FB00163"/>
    <w:rsid w:val="4FB208E7"/>
    <w:rsid w:val="4FE30332"/>
    <w:rsid w:val="4FE70BB4"/>
    <w:rsid w:val="4FE73C01"/>
    <w:rsid w:val="4FE76D51"/>
    <w:rsid w:val="4FE87C31"/>
    <w:rsid w:val="4FF03F98"/>
    <w:rsid w:val="4FF14DCF"/>
    <w:rsid w:val="5008113B"/>
    <w:rsid w:val="500815B6"/>
    <w:rsid w:val="500A7223"/>
    <w:rsid w:val="500B39BC"/>
    <w:rsid w:val="500C204A"/>
    <w:rsid w:val="501502DD"/>
    <w:rsid w:val="502173F8"/>
    <w:rsid w:val="5022123F"/>
    <w:rsid w:val="502B7315"/>
    <w:rsid w:val="503E570B"/>
    <w:rsid w:val="503F32CF"/>
    <w:rsid w:val="503F62FD"/>
    <w:rsid w:val="5041152A"/>
    <w:rsid w:val="504A1A7A"/>
    <w:rsid w:val="504C77D2"/>
    <w:rsid w:val="50560460"/>
    <w:rsid w:val="50601A5C"/>
    <w:rsid w:val="507E1B25"/>
    <w:rsid w:val="508E3B94"/>
    <w:rsid w:val="508E4492"/>
    <w:rsid w:val="5090223F"/>
    <w:rsid w:val="50915F48"/>
    <w:rsid w:val="50924591"/>
    <w:rsid w:val="50A578DE"/>
    <w:rsid w:val="50A649F5"/>
    <w:rsid w:val="50AB5EB6"/>
    <w:rsid w:val="50AE6FE2"/>
    <w:rsid w:val="50B16618"/>
    <w:rsid w:val="50BB6306"/>
    <w:rsid w:val="50CD2E4B"/>
    <w:rsid w:val="50DA0A9E"/>
    <w:rsid w:val="50ED21B8"/>
    <w:rsid w:val="50F31CB9"/>
    <w:rsid w:val="50F66F3D"/>
    <w:rsid w:val="50F8688B"/>
    <w:rsid w:val="50FC4E36"/>
    <w:rsid w:val="51002FFC"/>
    <w:rsid w:val="5105169B"/>
    <w:rsid w:val="51062881"/>
    <w:rsid w:val="510861B3"/>
    <w:rsid w:val="510956BD"/>
    <w:rsid w:val="5114696C"/>
    <w:rsid w:val="5121766A"/>
    <w:rsid w:val="51230220"/>
    <w:rsid w:val="513F6CC6"/>
    <w:rsid w:val="51471753"/>
    <w:rsid w:val="514E4912"/>
    <w:rsid w:val="515400FF"/>
    <w:rsid w:val="515441FE"/>
    <w:rsid w:val="515D735D"/>
    <w:rsid w:val="5161556E"/>
    <w:rsid w:val="51631E12"/>
    <w:rsid w:val="516F4764"/>
    <w:rsid w:val="51781A83"/>
    <w:rsid w:val="51867298"/>
    <w:rsid w:val="51894D69"/>
    <w:rsid w:val="518D21E1"/>
    <w:rsid w:val="518E6224"/>
    <w:rsid w:val="51930297"/>
    <w:rsid w:val="51953936"/>
    <w:rsid w:val="519E116A"/>
    <w:rsid w:val="51A2793A"/>
    <w:rsid w:val="51BA0CB7"/>
    <w:rsid w:val="51CA4619"/>
    <w:rsid w:val="51D129CA"/>
    <w:rsid w:val="51D93F8A"/>
    <w:rsid w:val="51E5046A"/>
    <w:rsid w:val="520D7B42"/>
    <w:rsid w:val="52175F05"/>
    <w:rsid w:val="52272B85"/>
    <w:rsid w:val="52284E31"/>
    <w:rsid w:val="522A5519"/>
    <w:rsid w:val="523E09B5"/>
    <w:rsid w:val="524053B4"/>
    <w:rsid w:val="52431715"/>
    <w:rsid w:val="52687B2A"/>
    <w:rsid w:val="526E0E82"/>
    <w:rsid w:val="527901C6"/>
    <w:rsid w:val="528241AF"/>
    <w:rsid w:val="52831D64"/>
    <w:rsid w:val="528F4A24"/>
    <w:rsid w:val="52944BB6"/>
    <w:rsid w:val="529C012B"/>
    <w:rsid w:val="52A24532"/>
    <w:rsid w:val="52A611A1"/>
    <w:rsid w:val="52AB4331"/>
    <w:rsid w:val="52B24D9E"/>
    <w:rsid w:val="52B3363A"/>
    <w:rsid w:val="52C33084"/>
    <w:rsid w:val="52C4763C"/>
    <w:rsid w:val="52C552C3"/>
    <w:rsid w:val="52CE7860"/>
    <w:rsid w:val="52D102DF"/>
    <w:rsid w:val="52DE691D"/>
    <w:rsid w:val="52E04D27"/>
    <w:rsid w:val="52ED0C96"/>
    <w:rsid w:val="52EE10AF"/>
    <w:rsid w:val="53061721"/>
    <w:rsid w:val="530C0E6B"/>
    <w:rsid w:val="530C41A5"/>
    <w:rsid w:val="531C3F9F"/>
    <w:rsid w:val="532F77EA"/>
    <w:rsid w:val="53367575"/>
    <w:rsid w:val="533933AA"/>
    <w:rsid w:val="533B7F54"/>
    <w:rsid w:val="533D2D66"/>
    <w:rsid w:val="535009E1"/>
    <w:rsid w:val="53650168"/>
    <w:rsid w:val="53665DA9"/>
    <w:rsid w:val="536C2A29"/>
    <w:rsid w:val="536E571F"/>
    <w:rsid w:val="538859E4"/>
    <w:rsid w:val="538E3092"/>
    <w:rsid w:val="539F394B"/>
    <w:rsid w:val="53A20FFA"/>
    <w:rsid w:val="53A233E4"/>
    <w:rsid w:val="53A63AE8"/>
    <w:rsid w:val="53A94C48"/>
    <w:rsid w:val="53AA7BC7"/>
    <w:rsid w:val="53AE5EA5"/>
    <w:rsid w:val="53B00B1F"/>
    <w:rsid w:val="53B2409D"/>
    <w:rsid w:val="53B31E73"/>
    <w:rsid w:val="53BF4252"/>
    <w:rsid w:val="53D5647F"/>
    <w:rsid w:val="53D6247A"/>
    <w:rsid w:val="53DB3477"/>
    <w:rsid w:val="53DE00FF"/>
    <w:rsid w:val="53E656AF"/>
    <w:rsid w:val="53E77CBF"/>
    <w:rsid w:val="53FE7128"/>
    <w:rsid w:val="54201800"/>
    <w:rsid w:val="54247F22"/>
    <w:rsid w:val="5427150F"/>
    <w:rsid w:val="542B1B24"/>
    <w:rsid w:val="542B76D0"/>
    <w:rsid w:val="542C29CD"/>
    <w:rsid w:val="542F1551"/>
    <w:rsid w:val="54381756"/>
    <w:rsid w:val="54396E51"/>
    <w:rsid w:val="545750B7"/>
    <w:rsid w:val="545A1EBF"/>
    <w:rsid w:val="54602EAD"/>
    <w:rsid w:val="5460437B"/>
    <w:rsid w:val="54727478"/>
    <w:rsid w:val="54B06F11"/>
    <w:rsid w:val="54B56DF4"/>
    <w:rsid w:val="54B93943"/>
    <w:rsid w:val="54BE5578"/>
    <w:rsid w:val="54BF52B5"/>
    <w:rsid w:val="54D202CA"/>
    <w:rsid w:val="54D54E59"/>
    <w:rsid w:val="54DD41DB"/>
    <w:rsid w:val="54ED3D78"/>
    <w:rsid w:val="54F52BA3"/>
    <w:rsid w:val="54F54E04"/>
    <w:rsid w:val="550B4121"/>
    <w:rsid w:val="550D5CFC"/>
    <w:rsid w:val="550F3357"/>
    <w:rsid w:val="55126CC5"/>
    <w:rsid w:val="55197997"/>
    <w:rsid w:val="551A4479"/>
    <w:rsid w:val="551B7F0A"/>
    <w:rsid w:val="552A6B56"/>
    <w:rsid w:val="55314F13"/>
    <w:rsid w:val="5532385A"/>
    <w:rsid w:val="55381D42"/>
    <w:rsid w:val="55401B14"/>
    <w:rsid w:val="554748F2"/>
    <w:rsid w:val="554D414C"/>
    <w:rsid w:val="554E7279"/>
    <w:rsid w:val="55594FFB"/>
    <w:rsid w:val="55637CEB"/>
    <w:rsid w:val="55677DDA"/>
    <w:rsid w:val="55757FB9"/>
    <w:rsid w:val="55884237"/>
    <w:rsid w:val="558C7FAA"/>
    <w:rsid w:val="55900510"/>
    <w:rsid w:val="55947881"/>
    <w:rsid w:val="55A25EB7"/>
    <w:rsid w:val="55A82784"/>
    <w:rsid w:val="55A97512"/>
    <w:rsid w:val="55B63FD5"/>
    <w:rsid w:val="55C35A76"/>
    <w:rsid w:val="55D158AA"/>
    <w:rsid w:val="55D40743"/>
    <w:rsid w:val="55DD6F2A"/>
    <w:rsid w:val="55E73480"/>
    <w:rsid w:val="55E8339E"/>
    <w:rsid w:val="55F06771"/>
    <w:rsid w:val="560C022B"/>
    <w:rsid w:val="560D5F48"/>
    <w:rsid w:val="56106284"/>
    <w:rsid w:val="56191DEE"/>
    <w:rsid w:val="5632642A"/>
    <w:rsid w:val="56375B61"/>
    <w:rsid w:val="564944F4"/>
    <w:rsid w:val="564E5820"/>
    <w:rsid w:val="565104C5"/>
    <w:rsid w:val="56534BEF"/>
    <w:rsid w:val="56630C00"/>
    <w:rsid w:val="56721038"/>
    <w:rsid w:val="567739D2"/>
    <w:rsid w:val="56775A0A"/>
    <w:rsid w:val="5686536D"/>
    <w:rsid w:val="568B1DB1"/>
    <w:rsid w:val="56A55214"/>
    <w:rsid w:val="56A67978"/>
    <w:rsid w:val="56AC63C5"/>
    <w:rsid w:val="56C1700B"/>
    <w:rsid w:val="56C56513"/>
    <w:rsid w:val="56CF48FB"/>
    <w:rsid w:val="56D25618"/>
    <w:rsid w:val="56D7644B"/>
    <w:rsid w:val="56E373D5"/>
    <w:rsid w:val="56E81FA0"/>
    <w:rsid w:val="56E84A97"/>
    <w:rsid w:val="56F05010"/>
    <w:rsid w:val="56FB2A68"/>
    <w:rsid w:val="57011F3E"/>
    <w:rsid w:val="57050D7B"/>
    <w:rsid w:val="5705646B"/>
    <w:rsid w:val="57060649"/>
    <w:rsid w:val="572657E3"/>
    <w:rsid w:val="5732705F"/>
    <w:rsid w:val="57351D6F"/>
    <w:rsid w:val="573B7F99"/>
    <w:rsid w:val="576476C1"/>
    <w:rsid w:val="576E1940"/>
    <w:rsid w:val="57756BF9"/>
    <w:rsid w:val="57770501"/>
    <w:rsid w:val="577B3337"/>
    <w:rsid w:val="577D4F28"/>
    <w:rsid w:val="57A33734"/>
    <w:rsid w:val="57AB6ADD"/>
    <w:rsid w:val="57B7178E"/>
    <w:rsid w:val="57B76EED"/>
    <w:rsid w:val="57BD72A7"/>
    <w:rsid w:val="57BE5838"/>
    <w:rsid w:val="57BF764E"/>
    <w:rsid w:val="57D82354"/>
    <w:rsid w:val="57FC07D9"/>
    <w:rsid w:val="57FF6992"/>
    <w:rsid w:val="58036FF1"/>
    <w:rsid w:val="580F1B21"/>
    <w:rsid w:val="581B7E79"/>
    <w:rsid w:val="58420FA1"/>
    <w:rsid w:val="58500F22"/>
    <w:rsid w:val="58587379"/>
    <w:rsid w:val="585D72B5"/>
    <w:rsid w:val="586D57A3"/>
    <w:rsid w:val="587917A0"/>
    <w:rsid w:val="587A4288"/>
    <w:rsid w:val="5880052B"/>
    <w:rsid w:val="588E3967"/>
    <w:rsid w:val="58AD27D9"/>
    <w:rsid w:val="58B169A2"/>
    <w:rsid w:val="58B9636C"/>
    <w:rsid w:val="58C37133"/>
    <w:rsid w:val="58C93046"/>
    <w:rsid w:val="58D36BCB"/>
    <w:rsid w:val="58D8157C"/>
    <w:rsid w:val="58E11166"/>
    <w:rsid w:val="58E6349C"/>
    <w:rsid w:val="58E83DEC"/>
    <w:rsid w:val="58EF63EE"/>
    <w:rsid w:val="590317F0"/>
    <w:rsid w:val="59075000"/>
    <w:rsid w:val="5912746D"/>
    <w:rsid w:val="593559FD"/>
    <w:rsid w:val="594079B2"/>
    <w:rsid w:val="595B45EE"/>
    <w:rsid w:val="596A688E"/>
    <w:rsid w:val="59803066"/>
    <w:rsid w:val="59860400"/>
    <w:rsid w:val="5987482A"/>
    <w:rsid w:val="598A58C2"/>
    <w:rsid w:val="598C6F19"/>
    <w:rsid w:val="599C49A8"/>
    <w:rsid w:val="59A252D5"/>
    <w:rsid w:val="59A36725"/>
    <w:rsid w:val="59AD4E2E"/>
    <w:rsid w:val="59B21BF9"/>
    <w:rsid w:val="59BB4EA3"/>
    <w:rsid w:val="59E9525B"/>
    <w:rsid w:val="59F70BAF"/>
    <w:rsid w:val="5A297D0D"/>
    <w:rsid w:val="5A3C0F08"/>
    <w:rsid w:val="5A3E5B83"/>
    <w:rsid w:val="5A50588C"/>
    <w:rsid w:val="5A5663A3"/>
    <w:rsid w:val="5A571746"/>
    <w:rsid w:val="5A594793"/>
    <w:rsid w:val="5A5B6E89"/>
    <w:rsid w:val="5A6253E3"/>
    <w:rsid w:val="5A641DE9"/>
    <w:rsid w:val="5A8E6670"/>
    <w:rsid w:val="5A912613"/>
    <w:rsid w:val="5A9245E9"/>
    <w:rsid w:val="5A953D41"/>
    <w:rsid w:val="5AA75D85"/>
    <w:rsid w:val="5ABC50F4"/>
    <w:rsid w:val="5ACB03C0"/>
    <w:rsid w:val="5ACC4940"/>
    <w:rsid w:val="5ACD3CD2"/>
    <w:rsid w:val="5AD7333E"/>
    <w:rsid w:val="5AD86A6D"/>
    <w:rsid w:val="5AE8708E"/>
    <w:rsid w:val="5AEC14F6"/>
    <w:rsid w:val="5AF124A4"/>
    <w:rsid w:val="5B0A4D6B"/>
    <w:rsid w:val="5B141085"/>
    <w:rsid w:val="5B28192B"/>
    <w:rsid w:val="5B342BAD"/>
    <w:rsid w:val="5B392581"/>
    <w:rsid w:val="5B4007EF"/>
    <w:rsid w:val="5B4D1F7C"/>
    <w:rsid w:val="5B51561D"/>
    <w:rsid w:val="5B570E24"/>
    <w:rsid w:val="5B607711"/>
    <w:rsid w:val="5B66707B"/>
    <w:rsid w:val="5B673066"/>
    <w:rsid w:val="5B6A48A8"/>
    <w:rsid w:val="5B731FA9"/>
    <w:rsid w:val="5B785E83"/>
    <w:rsid w:val="5B7C1CD1"/>
    <w:rsid w:val="5B9004A9"/>
    <w:rsid w:val="5B907C6C"/>
    <w:rsid w:val="5B9251EF"/>
    <w:rsid w:val="5BAB5BC4"/>
    <w:rsid w:val="5BB20B74"/>
    <w:rsid w:val="5BB33170"/>
    <w:rsid w:val="5BC677D8"/>
    <w:rsid w:val="5BD0669E"/>
    <w:rsid w:val="5BEB0120"/>
    <w:rsid w:val="5BEC175C"/>
    <w:rsid w:val="5BEF3E44"/>
    <w:rsid w:val="5BEF69FF"/>
    <w:rsid w:val="5C053E62"/>
    <w:rsid w:val="5C064BA0"/>
    <w:rsid w:val="5C07067E"/>
    <w:rsid w:val="5C075BB6"/>
    <w:rsid w:val="5C097C4E"/>
    <w:rsid w:val="5C1A3A93"/>
    <w:rsid w:val="5C235386"/>
    <w:rsid w:val="5C2A4E9F"/>
    <w:rsid w:val="5C37782E"/>
    <w:rsid w:val="5C3B6CFC"/>
    <w:rsid w:val="5C4C2CF4"/>
    <w:rsid w:val="5C6B1600"/>
    <w:rsid w:val="5C6E26BF"/>
    <w:rsid w:val="5C706511"/>
    <w:rsid w:val="5C7D70D1"/>
    <w:rsid w:val="5C8542A8"/>
    <w:rsid w:val="5CA6294E"/>
    <w:rsid w:val="5CCC1DEC"/>
    <w:rsid w:val="5CDB3358"/>
    <w:rsid w:val="5CED4E0C"/>
    <w:rsid w:val="5CEE1DD1"/>
    <w:rsid w:val="5CFF09AB"/>
    <w:rsid w:val="5D034EE9"/>
    <w:rsid w:val="5D0366E8"/>
    <w:rsid w:val="5D08684C"/>
    <w:rsid w:val="5D0A06B6"/>
    <w:rsid w:val="5D1307E8"/>
    <w:rsid w:val="5D212A05"/>
    <w:rsid w:val="5D28584C"/>
    <w:rsid w:val="5D2F4802"/>
    <w:rsid w:val="5D32239D"/>
    <w:rsid w:val="5D3444E6"/>
    <w:rsid w:val="5D3F0BDF"/>
    <w:rsid w:val="5D5B7098"/>
    <w:rsid w:val="5D5D62C9"/>
    <w:rsid w:val="5D611B66"/>
    <w:rsid w:val="5D634782"/>
    <w:rsid w:val="5D654194"/>
    <w:rsid w:val="5D6E1B86"/>
    <w:rsid w:val="5D725A84"/>
    <w:rsid w:val="5D7706E8"/>
    <w:rsid w:val="5D8A2CFF"/>
    <w:rsid w:val="5D960EE9"/>
    <w:rsid w:val="5D9A0CFA"/>
    <w:rsid w:val="5D9B296A"/>
    <w:rsid w:val="5D9C251B"/>
    <w:rsid w:val="5DA53D05"/>
    <w:rsid w:val="5DB765B6"/>
    <w:rsid w:val="5DC848B4"/>
    <w:rsid w:val="5DD14397"/>
    <w:rsid w:val="5DD3123F"/>
    <w:rsid w:val="5DD45E00"/>
    <w:rsid w:val="5DD564E5"/>
    <w:rsid w:val="5DD71C7A"/>
    <w:rsid w:val="5DD734EC"/>
    <w:rsid w:val="5DDA4F5F"/>
    <w:rsid w:val="5DDF6E6E"/>
    <w:rsid w:val="5DEC05A1"/>
    <w:rsid w:val="5DEE0433"/>
    <w:rsid w:val="5DFD51DB"/>
    <w:rsid w:val="5E0B017F"/>
    <w:rsid w:val="5E0B0848"/>
    <w:rsid w:val="5E1D4A67"/>
    <w:rsid w:val="5E1F2E4C"/>
    <w:rsid w:val="5E237029"/>
    <w:rsid w:val="5E3358BB"/>
    <w:rsid w:val="5E3A3BD1"/>
    <w:rsid w:val="5E4E2212"/>
    <w:rsid w:val="5E4F1C2F"/>
    <w:rsid w:val="5E5203B8"/>
    <w:rsid w:val="5E53474B"/>
    <w:rsid w:val="5E5D2503"/>
    <w:rsid w:val="5E5D7D0E"/>
    <w:rsid w:val="5E6A5399"/>
    <w:rsid w:val="5E71373F"/>
    <w:rsid w:val="5E717191"/>
    <w:rsid w:val="5E7435D2"/>
    <w:rsid w:val="5E830708"/>
    <w:rsid w:val="5E831398"/>
    <w:rsid w:val="5E85633A"/>
    <w:rsid w:val="5E921A45"/>
    <w:rsid w:val="5E975993"/>
    <w:rsid w:val="5EB51FDE"/>
    <w:rsid w:val="5EBA4472"/>
    <w:rsid w:val="5EC3227D"/>
    <w:rsid w:val="5EC504C9"/>
    <w:rsid w:val="5EC93320"/>
    <w:rsid w:val="5ECA3D37"/>
    <w:rsid w:val="5EE153F8"/>
    <w:rsid w:val="5EED7893"/>
    <w:rsid w:val="5EF427A1"/>
    <w:rsid w:val="5EFB2125"/>
    <w:rsid w:val="5EFB6F0A"/>
    <w:rsid w:val="5F0A3A61"/>
    <w:rsid w:val="5F2361A5"/>
    <w:rsid w:val="5F3370DF"/>
    <w:rsid w:val="5F683B6E"/>
    <w:rsid w:val="5F684490"/>
    <w:rsid w:val="5F6D06D6"/>
    <w:rsid w:val="5F6E768C"/>
    <w:rsid w:val="5F875C0C"/>
    <w:rsid w:val="5F8A0701"/>
    <w:rsid w:val="5F8F0B9E"/>
    <w:rsid w:val="5F8F267A"/>
    <w:rsid w:val="5F941274"/>
    <w:rsid w:val="5FAB7F08"/>
    <w:rsid w:val="5FB7185B"/>
    <w:rsid w:val="5FB94C48"/>
    <w:rsid w:val="5FDE327E"/>
    <w:rsid w:val="5FEB4E90"/>
    <w:rsid w:val="5FF37587"/>
    <w:rsid w:val="5FF85D1E"/>
    <w:rsid w:val="5FFE57B7"/>
    <w:rsid w:val="60060CD5"/>
    <w:rsid w:val="60085AA3"/>
    <w:rsid w:val="600E362B"/>
    <w:rsid w:val="60183392"/>
    <w:rsid w:val="601A4CB1"/>
    <w:rsid w:val="601B56CB"/>
    <w:rsid w:val="602C236D"/>
    <w:rsid w:val="603114E4"/>
    <w:rsid w:val="603967D7"/>
    <w:rsid w:val="603D3325"/>
    <w:rsid w:val="604040A8"/>
    <w:rsid w:val="60470CE3"/>
    <w:rsid w:val="60485D19"/>
    <w:rsid w:val="604D29BA"/>
    <w:rsid w:val="606711B4"/>
    <w:rsid w:val="60673C40"/>
    <w:rsid w:val="606A52D4"/>
    <w:rsid w:val="606C5678"/>
    <w:rsid w:val="607A0897"/>
    <w:rsid w:val="607C3753"/>
    <w:rsid w:val="607F6EAB"/>
    <w:rsid w:val="608D1D4E"/>
    <w:rsid w:val="60911FEF"/>
    <w:rsid w:val="6092569C"/>
    <w:rsid w:val="609D0F5A"/>
    <w:rsid w:val="60AD0357"/>
    <w:rsid w:val="60B004BE"/>
    <w:rsid w:val="60B6381B"/>
    <w:rsid w:val="60BA604C"/>
    <w:rsid w:val="60C302BA"/>
    <w:rsid w:val="60C30855"/>
    <w:rsid w:val="60C338B1"/>
    <w:rsid w:val="60D4742F"/>
    <w:rsid w:val="60D67C80"/>
    <w:rsid w:val="60D95276"/>
    <w:rsid w:val="60E06DEB"/>
    <w:rsid w:val="60E51841"/>
    <w:rsid w:val="61110088"/>
    <w:rsid w:val="611647A0"/>
    <w:rsid w:val="61421EFD"/>
    <w:rsid w:val="614F6F7E"/>
    <w:rsid w:val="615C5041"/>
    <w:rsid w:val="61640524"/>
    <w:rsid w:val="617A6EE7"/>
    <w:rsid w:val="617B616B"/>
    <w:rsid w:val="6182260C"/>
    <w:rsid w:val="6190565E"/>
    <w:rsid w:val="61AA2608"/>
    <w:rsid w:val="61AD68BC"/>
    <w:rsid w:val="61AE786E"/>
    <w:rsid w:val="61B173D2"/>
    <w:rsid w:val="61B77AEA"/>
    <w:rsid w:val="61BA6334"/>
    <w:rsid w:val="61BC4BE1"/>
    <w:rsid w:val="61D43A2B"/>
    <w:rsid w:val="61E34474"/>
    <w:rsid w:val="61ED6D6A"/>
    <w:rsid w:val="61FF316E"/>
    <w:rsid w:val="621542CB"/>
    <w:rsid w:val="621C2930"/>
    <w:rsid w:val="624263A2"/>
    <w:rsid w:val="625272C3"/>
    <w:rsid w:val="62715337"/>
    <w:rsid w:val="6280204D"/>
    <w:rsid w:val="6290769B"/>
    <w:rsid w:val="62943D08"/>
    <w:rsid w:val="629718F1"/>
    <w:rsid w:val="62A05735"/>
    <w:rsid w:val="62A411F8"/>
    <w:rsid w:val="62A81A26"/>
    <w:rsid w:val="62BA7A46"/>
    <w:rsid w:val="62C376AC"/>
    <w:rsid w:val="62CE13CB"/>
    <w:rsid w:val="62D2197B"/>
    <w:rsid w:val="62DB028F"/>
    <w:rsid w:val="62EE4623"/>
    <w:rsid w:val="62F6011A"/>
    <w:rsid w:val="62FD2BA9"/>
    <w:rsid w:val="6327422B"/>
    <w:rsid w:val="6328597C"/>
    <w:rsid w:val="633B249F"/>
    <w:rsid w:val="633D1842"/>
    <w:rsid w:val="635123F0"/>
    <w:rsid w:val="63552D76"/>
    <w:rsid w:val="6359778B"/>
    <w:rsid w:val="635B63E3"/>
    <w:rsid w:val="63771D13"/>
    <w:rsid w:val="638C3395"/>
    <w:rsid w:val="63B37325"/>
    <w:rsid w:val="63B82D87"/>
    <w:rsid w:val="63BA3154"/>
    <w:rsid w:val="63CA2E8B"/>
    <w:rsid w:val="63D4153E"/>
    <w:rsid w:val="63DA0FA3"/>
    <w:rsid w:val="63DC7755"/>
    <w:rsid w:val="63E43D21"/>
    <w:rsid w:val="63E774B3"/>
    <w:rsid w:val="63F47D2A"/>
    <w:rsid w:val="63F6335E"/>
    <w:rsid w:val="63FE2D33"/>
    <w:rsid w:val="64046427"/>
    <w:rsid w:val="642369FC"/>
    <w:rsid w:val="64264A79"/>
    <w:rsid w:val="642A38B2"/>
    <w:rsid w:val="64304E58"/>
    <w:rsid w:val="64311867"/>
    <w:rsid w:val="64391ED3"/>
    <w:rsid w:val="6445632E"/>
    <w:rsid w:val="64566F9D"/>
    <w:rsid w:val="64742B63"/>
    <w:rsid w:val="647E661E"/>
    <w:rsid w:val="648939AA"/>
    <w:rsid w:val="648C635C"/>
    <w:rsid w:val="649B1AC2"/>
    <w:rsid w:val="649B4C1C"/>
    <w:rsid w:val="64A7467B"/>
    <w:rsid w:val="64B53322"/>
    <w:rsid w:val="64C61AF8"/>
    <w:rsid w:val="64C86505"/>
    <w:rsid w:val="64FB4412"/>
    <w:rsid w:val="64FE700F"/>
    <w:rsid w:val="6500327F"/>
    <w:rsid w:val="6506609B"/>
    <w:rsid w:val="65083216"/>
    <w:rsid w:val="650A57D3"/>
    <w:rsid w:val="65460728"/>
    <w:rsid w:val="654835A8"/>
    <w:rsid w:val="65733E15"/>
    <w:rsid w:val="65822810"/>
    <w:rsid w:val="65870C45"/>
    <w:rsid w:val="659705FF"/>
    <w:rsid w:val="65AA6346"/>
    <w:rsid w:val="65B01B69"/>
    <w:rsid w:val="65B56C47"/>
    <w:rsid w:val="65B7794D"/>
    <w:rsid w:val="65B8262E"/>
    <w:rsid w:val="65BC15EE"/>
    <w:rsid w:val="65D23D59"/>
    <w:rsid w:val="65D4773F"/>
    <w:rsid w:val="65DC5939"/>
    <w:rsid w:val="65DC7985"/>
    <w:rsid w:val="65F14641"/>
    <w:rsid w:val="65F5655C"/>
    <w:rsid w:val="65F64F18"/>
    <w:rsid w:val="65FF118E"/>
    <w:rsid w:val="66052F43"/>
    <w:rsid w:val="66065483"/>
    <w:rsid w:val="6609487E"/>
    <w:rsid w:val="661D25CE"/>
    <w:rsid w:val="66206CF2"/>
    <w:rsid w:val="66265846"/>
    <w:rsid w:val="66287C9C"/>
    <w:rsid w:val="662E4097"/>
    <w:rsid w:val="664805B8"/>
    <w:rsid w:val="665572E9"/>
    <w:rsid w:val="665B14BD"/>
    <w:rsid w:val="665B55EA"/>
    <w:rsid w:val="66641D58"/>
    <w:rsid w:val="66655F85"/>
    <w:rsid w:val="667C7AEC"/>
    <w:rsid w:val="667F71BA"/>
    <w:rsid w:val="66863A0F"/>
    <w:rsid w:val="66984358"/>
    <w:rsid w:val="669B7C76"/>
    <w:rsid w:val="66A200F8"/>
    <w:rsid w:val="66A205F5"/>
    <w:rsid w:val="66A30EC2"/>
    <w:rsid w:val="66AA4BA8"/>
    <w:rsid w:val="66C56058"/>
    <w:rsid w:val="66C955BD"/>
    <w:rsid w:val="66CF3182"/>
    <w:rsid w:val="66D97420"/>
    <w:rsid w:val="66DC317D"/>
    <w:rsid w:val="66DD5461"/>
    <w:rsid w:val="66E10E78"/>
    <w:rsid w:val="66E617C5"/>
    <w:rsid w:val="66E910C9"/>
    <w:rsid w:val="670C6D27"/>
    <w:rsid w:val="670D67CE"/>
    <w:rsid w:val="67105BAB"/>
    <w:rsid w:val="671B1631"/>
    <w:rsid w:val="672C45D9"/>
    <w:rsid w:val="67302DC3"/>
    <w:rsid w:val="67316C6B"/>
    <w:rsid w:val="674318B2"/>
    <w:rsid w:val="674D4B22"/>
    <w:rsid w:val="67570422"/>
    <w:rsid w:val="675D31B4"/>
    <w:rsid w:val="67611575"/>
    <w:rsid w:val="676D2F4B"/>
    <w:rsid w:val="677A266A"/>
    <w:rsid w:val="677C1A81"/>
    <w:rsid w:val="677E7198"/>
    <w:rsid w:val="678A426A"/>
    <w:rsid w:val="679127AC"/>
    <w:rsid w:val="67914BE1"/>
    <w:rsid w:val="679305CA"/>
    <w:rsid w:val="679348FA"/>
    <w:rsid w:val="67A01F16"/>
    <w:rsid w:val="67A2026E"/>
    <w:rsid w:val="67AD0902"/>
    <w:rsid w:val="67B163D1"/>
    <w:rsid w:val="67DE0B68"/>
    <w:rsid w:val="67F45538"/>
    <w:rsid w:val="67F67092"/>
    <w:rsid w:val="68005932"/>
    <w:rsid w:val="680239EB"/>
    <w:rsid w:val="680722DA"/>
    <w:rsid w:val="68075891"/>
    <w:rsid w:val="68096B99"/>
    <w:rsid w:val="681C6C95"/>
    <w:rsid w:val="682211D1"/>
    <w:rsid w:val="68445430"/>
    <w:rsid w:val="685B0620"/>
    <w:rsid w:val="685C6395"/>
    <w:rsid w:val="686318DD"/>
    <w:rsid w:val="68635145"/>
    <w:rsid w:val="686D19A4"/>
    <w:rsid w:val="687914A4"/>
    <w:rsid w:val="687F607E"/>
    <w:rsid w:val="6887281F"/>
    <w:rsid w:val="689565AD"/>
    <w:rsid w:val="689A41FB"/>
    <w:rsid w:val="689E57F0"/>
    <w:rsid w:val="68A34C5C"/>
    <w:rsid w:val="68CA6EAF"/>
    <w:rsid w:val="68D507C6"/>
    <w:rsid w:val="68E24981"/>
    <w:rsid w:val="68E62C62"/>
    <w:rsid w:val="68ED60A5"/>
    <w:rsid w:val="69123F86"/>
    <w:rsid w:val="691C1D81"/>
    <w:rsid w:val="691C3525"/>
    <w:rsid w:val="691C4B46"/>
    <w:rsid w:val="69216128"/>
    <w:rsid w:val="69250799"/>
    <w:rsid w:val="69280874"/>
    <w:rsid w:val="692E74C3"/>
    <w:rsid w:val="69307671"/>
    <w:rsid w:val="695D6B21"/>
    <w:rsid w:val="69611EE7"/>
    <w:rsid w:val="69621F5B"/>
    <w:rsid w:val="696C708E"/>
    <w:rsid w:val="696F4D5D"/>
    <w:rsid w:val="69850877"/>
    <w:rsid w:val="698C13C5"/>
    <w:rsid w:val="69EB1E1E"/>
    <w:rsid w:val="69F0745A"/>
    <w:rsid w:val="69FC1871"/>
    <w:rsid w:val="6A0D20F2"/>
    <w:rsid w:val="6A1757B7"/>
    <w:rsid w:val="6A1D59EC"/>
    <w:rsid w:val="6A247F72"/>
    <w:rsid w:val="6A2E5EF8"/>
    <w:rsid w:val="6A3E2393"/>
    <w:rsid w:val="6A435B92"/>
    <w:rsid w:val="6A444DB8"/>
    <w:rsid w:val="6A4D4828"/>
    <w:rsid w:val="6A516AC3"/>
    <w:rsid w:val="6A5303BA"/>
    <w:rsid w:val="6A5B28ED"/>
    <w:rsid w:val="6A677080"/>
    <w:rsid w:val="6A711183"/>
    <w:rsid w:val="6A720BCF"/>
    <w:rsid w:val="6A7B4B9C"/>
    <w:rsid w:val="6AAF014C"/>
    <w:rsid w:val="6ABD60AB"/>
    <w:rsid w:val="6AC07690"/>
    <w:rsid w:val="6ACB082B"/>
    <w:rsid w:val="6AD3247E"/>
    <w:rsid w:val="6AE4699C"/>
    <w:rsid w:val="6AED1BE8"/>
    <w:rsid w:val="6AF00853"/>
    <w:rsid w:val="6AF317C6"/>
    <w:rsid w:val="6B004C6B"/>
    <w:rsid w:val="6B09696B"/>
    <w:rsid w:val="6B2B0EFD"/>
    <w:rsid w:val="6B2C13E4"/>
    <w:rsid w:val="6B2D2EEB"/>
    <w:rsid w:val="6B322952"/>
    <w:rsid w:val="6B410613"/>
    <w:rsid w:val="6B493E2C"/>
    <w:rsid w:val="6B4B0A4C"/>
    <w:rsid w:val="6B4B36C9"/>
    <w:rsid w:val="6B4E75E6"/>
    <w:rsid w:val="6B50310B"/>
    <w:rsid w:val="6B5045E2"/>
    <w:rsid w:val="6B5A03D5"/>
    <w:rsid w:val="6B5B3B9E"/>
    <w:rsid w:val="6B5C4553"/>
    <w:rsid w:val="6B695848"/>
    <w:rsid w:val="6B6D1317"/>
    <w:rsid w:val="6B730045"/>
    <w:rsid w:val="6B736A2E"/>
    <w:rsid w:val="6B7964E9"/>
    <w:rsid w:val="6B874340"/>
    <w:rsid w:val="6B884219"/>
    <w:rsid w:val="6B90781F"/>
    <w:rsid w:val="6BA6663C"/>
    <w:rsid w:val="6BA9194F"/>
    <w:rsid w:val="6BCA7437"/>
    <w:rsid w:val="6BE727F5"/>
    <w:rsid w:val="6C001608"/>
    <w:rsid w:val="6C0858B3"/>
    <w:rsid w:val="6C132D21"/>
    <w:rsid w:val="6C240DF3"/>
    <w:rsid w:val="6C45610F"/>
    <w:rsid w:val="6C59472D"/>
    <w:rsid w:val="6C5A4564"/>
    <w:rsid w:val="6C603744"/>
    <w:rsid w:val="6C635845"/>
    <w:rsid w:val="6C637CCF"/>
    <w:rsid w:val="6C6B4F91"/>
    <w:rsid w:val="6C7802EB"/>
    <w:rsid w:val="6C89456C"/>
    <w:rsid w:val="6C9143CB"/>
    <w:rsid w:val="6CA20D5B"/>
    <w:rsid w:val="6CA75F1D"/>
    <w:rsid w:val="6CAF7564"/>
    <w:rsid w:val="6CB71894"/>
    <w:rsid w:val="6CB91201"/>
    <w:rsid w:val="6CC13ACE"/>
    <w:rsid w:val="6CD63FB3"/>
    <w:rsid w:val="6CD73CDB"/>
    <w:rsid w:val="6CD91323"/>
    <w:rsid w:val="6CFE035F"/>
    <w:rsid w:val="6D056EA6"/>
    <w:rsid w:val="6D1766A9"/>
    <w:rsid w:val="6D1F423E"/>
    <w:rsid w:val="6D221E52"/>
    <w:rsid w:val="6D227835"/>
    <w:rsid w:val="6D231354"/>
    <w:rsid w:val="6D2834C8"/>
    <w:rsid w:val="6D2F1F0B"/>
    <w:rsid w:val="6D3C6626"/>
    <w:rsid w:val="6D5D0DB5"/>
    <w:rsid w:val="6D6855B1"/>
    <w:rsid w:val="6D7B4AB7"/>
    <w:rsid w:val="6D836C02"/>
    <w:rsid w:val="6D89784B"/>
    <w:rsid w:val="6D8C7F73"/>
    <w:rsid w:val="6D9057BE"/>
    <w:rsid w:val="6D9E0566"/>
    <w:rsid w:val="6DBE7F27"/>
    <w:rsid w:val="6DC262E7"/>
    <w:rsid w:val="6DD70DD8"/>
    <w:rsid w:val="6DED1766"/>
    <w:rsid w:val="6DF43BD4"/>
    <w:rsid w:val="6E0E1FAB"/>
    <w:rsid w:val="6E2143FB"/>
    <w:rsid w:val="6E295363"/>
    <w:rsid w:val="6E317378"/>
    <w:rsid w:val="6E3A4724"/>
    <w:rsid w:val="6E3E5591"/>
    <w:rsid w:val="6E4215C6"/>
    <w:rsid w:val="6E4B0158"/>
    <w:rsid w:val="6E4D611F"/>
    <w:rsid w:val="6E567C9E"/>
    <w:rsid w:val="6E635028"/>
    <w:rsid w:val="6E636A71"/>
    <w:rsid w:val="6E685B0A"/>
    <w:rsid w:val="6E687486"/>
    <w:rsid w:val="6E73404A"/>
    <w:rsid w:val="6E7355AA"/>
    <w:rsid w:val="6E7D300B"/>
    <w:rsid w:val="6E823708"/>
    <w:rsid w:val="6E920B5B"/>
    <w:rsid w:val="6E990B16"/>
    <w:rsid w:val="6E995AB6"/>
    <w:rsid w:val="6EB169D3"/>
    <w:rsid w:val="6EB21539"/>
    <w:rsid w:val="6EB829B1"/>
    <w:rsid w:val="6EB978A9"/>
    <w:rsid w:val="6ECC3A24"/>
    <w:rsid w:val="6ED86D3E"/>
    <w:rsid w:val="6EE9744F"/>
    <w:rsid w:val="6EEC3F7C"/>
    <w:rsid w:val="6EF3602C"/>
    <w:rsid w:val="6EFE1485"/>
    <w:rsid w:val="6F0247B3"/>
    <w:rsid w:val="6F031F8E"/>
    <w:rsid w:val="6F0D382C"/>
    <w:rsid w:val="6F2632E8"/>
    <w:rsid w:val="6F30363A"/>
    <w:rsid w:val="6F3316E5"/>
    <w:rsid w:val="6F3F40F9"/>
    <w:rsid w:val="6F5E0205"/>
    <w:rsid w:val="6F632569"/>
    <w:rsid w:val="6F6F14E1"/>
    <w:rsid w:val="6F76254B"/>
    <w:rsid w:val="6F7C40AC"/>
    <w:rsid w:val="6F8040F4"/>
    <w:rsid w:val="6F877B03"/>
    <w:rsid w:val="6F9A3007"/>
    <w:rsid w:val="6FA629D4"/>
    <w:rsid w:val="6FA75ADB"/>
    <w:rsid w:val="6FB77ED4"/>
    <w:rsid w:val="6FBD4D2F"/>
    <w:rsid w:val="6FBF4710"/>
    <w:rsid w:val="6FC9109F"/>
    <w:rsid w:val="6FDB518F"/>
    <w:rsid w:val="6FE529ED"/>
    <w:rsid w:val="6FF733A7"/>
    <w:rsid w:val="70003DD9"/>
    <w:rsid w:val="70072915"/>
    <w:rsid w:val="70172090"/>
    <w:rsid w:val="70195E88"/>
    <w:rsid w:val="701D43BA"/>
    <w:rsid w:val="702B6F43"/>
    <w:rsid w:val="7032079E"/>
    <w:rsid w:val="703C186A"/>
    <w:rsid w:val="704A67B2"/>
    <w:rsid w:val="704C34F0"/>
    <w:rsid w:val="70570007"/>
    <w:rsid w:val="705843B4"/>
    <w:rsid w:val="70655A58"/>
    <w:rsid w:val="706A37E5"/>
    <w:rsid w:val="70822BAD"/>
    <w:rsid w:val="708746BC"/>
    <w:rsid w:val="708A15C0"/>
    <w:rsid w:val="708F7F54"/>
    <w:rsid w:val="709E3D85"/>
    <w:rsid w:val="70A36A35"/>
    <w:rsid w:val="70A708B1"/>
    <w:rsid w:val="70A97192"/>
    <w:rsid w:val="70AC660B"/>
    <w:rsid w:val="70B17138"/>
    <w:rsid w:val="70BB2EF0"/>
    <w:rsid w:val="70BC2801"/>
    <w:rsid w:val="70C6646C"/>
    <w:rsid w:val="70D82DC7"/>
    <w:rsid w:val="70E4685D"/>
    <w:rsid w:val="70FC2D1E"/>
    <w:rsid w:val="71015D6B"/>
    <w:rsid w:val="71067D7F"/>
    <w:rsid w:val="71115386"/>
    <w:rsid w:val="71126908"/>
    <w:rsid w:val="71151975"/>
    <w:rsid w:val="711D1189"/>
    <w:rsid w:val="712A5215"/>
    <w:rsid w:val="71336A65"/>
    <w:rsid w:val="713A6008"/>
    <w:rsid w:val="7148395C"/>
    <w:rsid w:val="714B215B"/>
    <w:rsid w:val="714E2D72"/>
    <w:rsid w:val="71545B37"/>
    <w:rsid w:val="71570E43"/>
    <w:rsid w:val="71573E01"/>
    <w:rsid w:val="71702748"/>
    <w:rsid w:val="71867894"/>
    <w:rsid w:val="71920F6D"/>
    <w:rsid w:val="719E0160"/>
    <w:rsid w:val="719F7A78"/>
    <w:rsid w:val="71AD22C0"/>
    <w:rsid w:val="71B623F6"/>
    <w:rsid w:val="71B84778"/>
    <w:rsid w:val="71C7540C"/>
    <w:rsid w:val="71F64A63"/>
    <w:rsid w:val="71F870B8"/>
    <w:rsid w:val="72021233"/>
    <w:rsid w:val="720B2A1D"/>
    <w:rsid w:val="72197AB8"/>
    <w:rsid w:val="72502F9F"/>
    <w:rsid w:val="7251515C"/>
    <w:rsid w:val="725817D3"/>
    <w:rsid w:val="726E6AD4"/>
    <w:rsid w:val="727C422C"/>
    <w:rsid w:val="7288329F"/>
    <w:rsid w:val="728D72D4"/>
    <w:rsid w:val="728E71EE"/>
    <w:rsid w:val="7292045A"/>
    <w:rsid w:val="72974DBE"/>
    <w:rsid w:val="72983FF8"/>
    <w:rsid w:val="72985E1E"/>
    <w:rsid w:val="72A20C20"/>
    <w:rsid w:val="72AC5E95"/>
    <w:rsid w:val="72BF43E3"/>
    <w:rsid w:val="72C13ED7"/>
    <w:rsid w:val="72CF1AC7"/>
    <w:rsid w:val="72DC0F93"/>
    <w:rsid w:val="72E42AFA"/>
    <w:rsid w:val="72E85578"/>
    <w:rsid w:val="72EB4466"/>
    <w:rsid w:val="72FD426E"/>
    <w:rsid w:val="73043CFC"/>
    <w:rsid w:val="730D09BA"/>
    <w:rsid w:val="7317244F"/>
    <w:rsid w:val="732B736C"/>
    <w:rsid w:val="732C334F"/>
    <w:rsid w:val="733501BF"/>
    <w:rsid w:val="734F0C79"/>
    <w:rsid w:val="734F4185"/>
    <w:rsid w:val="73520620"/>
    <w:rsid w:val="73536078"/>
    <w:rsid w:val="7363274A"/>
    <w:rsid w:val="73691A4A"/>
    <w:rsid w:val="7371152B"/>
    <w:rsid w:val="73777B4D"/>
    <w:rsid w:val="738A6895"/>
    <w:rsid w:val="738D1AFA"/>
    <w:rsid w:val="73917325"/>
    <w:rsid w:val="7395427D"/>
    <w:rsid w:val="73AE5485"/>
    <w:rsid w:val="73B1087F"/>
    <w:rsid w:val="73BC7089"/>
    <w:rsid w:val="73BE7067"/>
    <w:rsid w:val="73E406FD"/>
    <w:rsid w:val="73E52294"/>
    <w:rsid w:val="73EC5464"/>
    <w:rsid w:val="73FF2D64"/>
    <w:rsid w:val="74137154"/>
    <w:rsid w:val="741819AA"/>
    <w:rsid w:val="7421310D"/>
    <w:rsid w:val="74257F79"/>
    <w:rsid w:val="74273820"/>
    <w:rsid w:val="7427471C"/>
    <w:rsid w:val="74281B3F"/>
    <w:rsid w:val="742D7CD7"/>
    <w:rsid w:val="74355B0B"/>
    <w:rsid w:val="743C33B0"/>
    <w:rsid w:val="743C7157"/>
    <w:rsid w:val="743C71DA"/>
    <w:rsid w:val="74416F54"/>
    <w:rsid w:val="744B354F"/>
    <w:rsid w:val="7450294E"/>
    <w:rsid w:val="74543139"/>
    <w:rsid w:val="74672BF8"/>
    <w:rsid w:val="746B732F"/>
    <w:rsid w:val="746E18CB"/>
    <w:rsid w:val="746F3904"/>
    <w:rsid w:val="748D52FA"/>
    <w:rsid w:val="74993216"/>
    <w:rsid w:val="74B44784"/>
    <w:rsid w:val="74B808BF"/>
    <w:rsid w:val="74C03187"/>
    <w:rsid w:val="74E427B4"/>
    <w:rsid w:val="74E4756E"/>
    <w:rsid w:val="74ED19FF"/>
    <w:rsid w:val="75084E8F"/>
    <w:rsid w:val="7509261E"/>
    <w:rsid w:val="75202656"/>
    <w:rsid w:val="752231CE"/>
    <w:rsid w:val="753F3D3B"/>
    <w:rsid w:val="754723D0"/>
    <w:rsid w:val="756F29D2"/>
    <w:rsid w:val="75752B04"/>
    <w:rsid w:val="758910BB"/>
    <w:rsid w:val="75920C70"/>
    <w:rsid w:val="75955DA9"/>
    <w:rsid w:val="759601E2"/>
    <w:rsid w:val="75977910"/>
    <w:rsid w:val="759F2A35"/>
    <w:rsid w:val="75AD4ED0"/>
    <w:rsid w:val="75B15C41"/>
    <w:rsid w:val="75CC5191"/>
    <w:rsid w:val="75CC694A"/>
    <w:rsid w:val="75D12923"/>
    <w:rsid w:val="75EA364B"/>
    <w:rsid w:val="75F20996"/>
    <w:rsid w:val="75F65644"/>
    <w:rsid w:val="75F96973"/>
    <w:rsid w:val="760A0D32"/>
    <w:rsid w:val="760A4340"/>
    <w:rsid w:val="76123E1D"/>
    <w:rsid w:val="761270F3"/>
    <w:rsid w:val="761724E5"/>
    <w:rsid w:val="762545DB"/>
    <w:rsid w:val="762A17C0"/>
    <w:rsid w:val="762E6798"/>
    <w:rsid w:val="76425118"/>
    <w:rsid w:val="764838B9"/>
    <w:rsid w:val="764B15DA"/>
    <w:rsid w:val="764C09B4"/>
    <w:rsid w:val="764F5A52"/>
    <w:rsid w:val="76521C57"/>
    <w:rsid w:val="766163C1"/>
    <w:rsid w:val="76665926"/>
    <w:rsid w:val="766A4A0D"/>
    <w:rsid w:val="768C454B"/>
    <w:rsid w:val="7692667A"/>
    <w:rsid w:val="76982273"/>
    <w:rsid w:val="769A7352"/>
    <w:rsid w:val="769C4619"/>
    <w:rsid w:val="76A177B8"/>
    <w:rsid w:val="76AD2761"/>
    <w:rsid w:val="76B64E53"/>
    <w:rsid w:val="76B8001A"/>
    <w:rsid w:val="76B81599"/>
    <w:rsid w:val="76B97D11"/>
    <w:rsid w:val="76BB2F21"/>
    <w:rsid w:val="76BC314A"/>
    <w:rsid w:val="76C12918"/>
    <w:rsid w:val="76CF29D3"/>
    <w:rsid w:val="76E91124"/>
    <w:rsid w:val="76EB0D11"/>
    <w:rsid w:val="76EC51FD"/>
    <w:rsid w:val="76F410B8"/>
    <w:rsid w:val="76F70779"/>
    <w:rsid w:val="76FE4818"/>
    <w:rsid w:val="770A6C33"/>
    <w:rsid w:val="771A04D1"/>
    <w:rsid w:val="771B67DF"/>
    <w:rsid w:val="771E64D7"/>
    <w:rsid w:val="77240552"/>
    <w:rsid w:val="77272CAB"/>
    <w:rsid w:val="77451578"/>
    <w:rsid w:val="774963F2"/>
    <w:rsid w:val="77576666"/>
    <w:rsid w:val="77636E18"/>
    <w:rsid w:val="77692EA3"/>
    <w:rsid w:val="77695538"/>
    <w:rsid w:val="7773758E"/>
    <w:rsid w:val="77825248"/>
    <w:rsid w:val="7785098B"/>
    <w:rsid w:val="77870D91"/>
    <w:rsid w:val="778A3229"/>
    <w:rsid w:val="779258CC"/>
    <w:rsid w:val="7794068F"/>
    <w:rsid w:val="779A096B"/>
    <w:rsid w:val="779B52FF"/>
    <w:rsid w:val="779C011D"/>
    <w:rsid w:val="77A00E75"/>
    <w:rsid w:val="77A80D17"/>
    <w:rsid w:val="77B841F3"/>
    <w:rsid w:val="77C078B1"/>
    <w:rsid w:val="77CE7C36"/>
    <w:rsid w:val="77E66E3C"/>
    <w:rsid w:val="77E84D6F"/>
    <w:rsid w:val="77F3789A"/>
    <w:rsid w:val="77F71324"/>
    <w:rsid w:val="780326B9"/>
    <w:rsid w:val="780332E5"/>
    <w:rsid w:val="7804698A"/>
    <w:rsid w:val="7833711D"/>
    <w:rsid w:val="7834483F"/>
    <w:rsid w:val="78460D63"/>
    <w:rsid w:val="78497C2E"/>
    <w:rsid w:val="78502D35"/>
    <w:rsid w:val="7854087B"/>
    <w:rsid w:val="786A4053"/>
    <w:rsid w:val="78717849"/>
    <w:rsid w:val="78782A0D"/>
    <w:rsid w:val="78785A2F"/>
    <w:rsid w:val="787B5060"/>
    <w:rsid w:val="788720E7"/>
    <w:rsid w:val="78A90B04"/>
    <w:rsid w:val="78C53485"/>
    <w:rsid w:val="78C6693F"/>
    <w:rsid w:val="78C76A01"/>
    <w:rsid w:val="78C9386A"/>
    <w:rsid w:val="78DA30DC"/>
    <w:rsid w:val="78EC45D8"/>
    <w:rsid w:val="78EC6DF0"/>
    <w:rsid w:val="78F02AF8"/>
    <w:rsid w:val="78F5335B"/>
    <w:rsid w:val="78F554EB"/>
    <w:rsid w:val="790C4772"/>
    <w:rsid w:val="791843E7"/>
    <w:rsid w:val="79233426"/>
    <w:rsid w:val="79260F03"/>
    <w:rsid w:val="792E73F2"/>
    <w:rsid w:val="79395A92"/>
    <w:rsid w:val="793C6522"/>
    <w:rsid w:val="794008FB"/>
    <w:rsid w:val="79412D41"/>
    <w:rsid w:val="794708D9"/>
    <w:rsid w:val="794B21A1"/>
    <w:rsid w:val="7964574A"/>
    <w:rsid w:val="79804706"/>
    <w:rsid w:val="79835FC2"/>
    <w:rsid w:val="79840597"/>
    <w:rsid w:val="79941CF2"/>
    <w:rsid w:val="79973382"/>
    <w:rsid w:val="79B4353E"/>
    <w:rsid w:val="79C07B43"/>
    <w:rsid w:val="79D33056"/>
    <w:rsid w:val="79D715DF"/>
    <w:rsid w:val="79E16F93"/>
    <w:rsid w:val="79E701E5"/>
    <w:rsid w:val="79EC0256"/>
    <w:rsid w:val="79F60153"/>
    <w:rsid w:val="79FB6E2C"/>
    <w:rsid w:val="79FF7B91"/>
    <w:rsid w:val="7A36322F"/>
    <w:rsid w:val="7A431242"/>
    <w:rsid w:val="7A444657"/>
    <w:rsid w:val="7A4C2D60"/>
    <w:rsid w:val="7A5E0869"/>
    <w:rsid w:val="7A69432B"/>
    <w:rsid w:val="7A6E4BF5"/>
    <w:rsid w:val="7A7F4A1E"/>
    <w:rsid w:val="7A8246BA"/>
    <w:rsid w:val="7A851D5D"/>
    <w:rsid w:val="7A8A2267"/>
    <w:rsid w:val="7AB53126"/>
    <w:rsid w:val="7AB76FE8"/>
    <w:rsid w:val="7AB8122B"/>
    <w:rsid w:val="7ACC526F"/>
    <w:rsid w:val="7AD268E2"/>
    <w:rsid w:val="7ADC0B33"/>
    <w:rsid w:val="7AE14C19"/>
    <w:rsid w:val="7AEA174E"/>
    <w:rsid w:val="7B05641A"/>
    <w:rsid w:val="7B0B692F"/>
    <w:rsid w:val="7B274176"/>
    <w:rsid w:val="7B3057E4"/>
    <w:rsid w:val="7B306163"/>
    <w:rsid w:val="7B364C38"/>
    <w:rsid w:val="7B3E17AA"/>
    <w:rsid w:val="7B401C79"/>
    <w:rsid w:val="7B440ED6"/>
    <w:rsid w:val="7B4678D7"/>
    <w:rsid w:val="7B4B2A93"/>
    <w:rsid w:val="7B516F3E"/>
    <w:rsid w:val="7B527515"/>
    <w:rsid w:val="7B721F10"/>
    <w:rsid w:val="7B78553B"/>
    <w:rsid w:val="7B786809"/>
    <w:rsid w:val="7B890A24"/>
    <w:rsid w:val="7B8A4A8A"/>
    <w:rsid w:val="7BA8216F"/>
    <w:rsid w:val="7BAA485C"/>
    <w:rsid w:val="7BAD1591"/>
    <w:rsid w:val="7BCD64C2"/>
    <w:rsid w:val="7BD3716B"/>
    <w:rsid w:val="7BEC2711"/>
    <w:rsid w:val="7BF55850"/>
    <w:rsid w:val="7C1054B7"/>
    <w:rsid w:val="7C131E53"/>
    <w:rsid w:val="7C261982"/>
    <w:rsid w:val="7C26369C"/>
    <w:rsid w:val="7C2A465C"/>
    <w:rsid w:val="7C2E06D8"/>
    <w:rsid w:val="7C305879"/>
    <w:rsid w:val="7C34521A"/>
    <w:rsid w:val="7C4674BA"/>
    <w:rsid w:val="7C4A2BD1"/>
    <w:rsid w:val="7C4C0053"/>
    <w:rsid w:val="7C576C70"/>
    <w:rsid w:val="7C602892"/>
    <w:rsid w:val="7C6E4349"/>
    <w:rsid w:val="7C77043F"/>
    <w:rsid w:val="7C8A7CDC"/>
    <w:rsid w:val="7C9E5A24"/>
    <w:rsid w:val="7CA745A1"/>
    <w:rsid w:val="7CAF4DCB"/>
    <w:rsid w:val="7CB4006B"/>
    <w:rsid w:val="7CB93ABB"/>
    <w:rsid w:val="7CC475DB"/>
    <w:rsid w:val="7CD36BD6"/>
    <w:rsid w:val="7CDE3831"/>
    <w:rsid w:val="7CE656F0"/>
    <w:rsid w:val="7CED34FF"/>
    <w:rsid w:val="7CEE5458"/>
    <w:rsid w:val="7CF26588"/>
    <w:rsid w:val="7CF565D7"/>
    <w:rsid w:val="7CF867A7"/>
    <w:rsid w:val="7CFA3A46"/>
    <w:rsid w:val="7CFC78A1"/>
    <w:rsid w:val="7D0F5720"/>
    <w:rsid w:val="7D24652E"/>
    <w:rsid w:val="7D2561FD"/>
    <w:rsid w:val="7D2E198F"/>
    <w:rsid w:val="7D3B3737"/>
    <w:rsid w:val="7D3D73AF"/>
    <w:rsid w:val="7D3F6E5D"/>
    <w:rsid w:val="7D5052A6"/>
    <w:rsid w:val="7D514310"/>
    <w:rsid w:val="7D5B27C9"/>
    <w:rsid w:val="7D62117D"/>
    <w:rsid w:val="7D6B7F02"/>
    <w:rsid w:val="7D834A16"/>
    <w:rsid w:val="7D9D0A97"/>
    <w:rsid w:val="7D9D438F"/>
    <w:rsid w:val="7DA514D2"/>
    <w:rsid w:val="7DAE6BE3"/>
    <w:rsid w:val="7DCD1A27"/>
    <w:rsid w:val="7DCD4EB5"/>
    <w:rsid w:val="7DDF20BC"/>
    <w:rsid w:val="7DE07962"/>
    <w:rsid w:val="7DE34955"/>
    <w:rsid w:val="7DFF1E31"/>
    <w:rsid w:val="7E090313"/>
    <w:rsid w:val="7E097A5B"/>
    <w:rsid w:val="7E3E0FEC"/>
    <w:rsid w:val="7E3E1EF2"/>
    <w:rsid w:val="7E566EA2"/>
    <w:rsid w:val="7E587A05"/>
    <w:rsid w:val="7E5B15D2"/>
    <w:rsid w:val="7E5B76B4"/>
    <w:rsid w:val="7E5C1ABA"/>
    <w:rsid w:val="7E61281D"/>
    <w:rsid w:val="7E622778"/>
    <w:rsid w:val="7E726401"/>
    <w:rsid w:val="7E756346"/>
    <w:rsid w:val="7E8104AE"/>
    <w:rsid w:val="7E85174A"/>
    <w:rsid w:val="7E8B68B9"/>
    <w:rsid w:val="7EA77314"/>
    <w:rsid w:val="7EAA7C26"/>
    <w:rsid w:val="7EAF1FAA"/>
    <w:rsid w:val="7EB4653A"/>
    <w:rsid w:val="7EC478B9"/>
    <w:rsid w:val="7ECA4601"/>
    <w:rsid w:val="7EDC22AD"/>
    <w:rsid w:val="7EDE4C34"/>
    <w:rsid w:val="7EE34086"/>
    <w:rsid w:val="7EE55F89"/>
    <w:rsid w:val="7EEB5719"/>
    <w:rsid w:val="7EF215E8"/>
    <w:rsid w:val="7EF525E1"/>
    <w:rsid w:val="7EF74FC9"/>
    <w:rsid w:val="7F000B6A"/>
    <w:rsid w:val="7F0178C5"/>
    <w:rsid w:val="7F022EBD"/>
    <w:rsid w:val="7F033852"/>
    <w:rsid w:val="7F0B5962"/>
    <w:rsid w:val="7F0C2035"/>
    <w:rsid w:val="7F0F0FAF"/>
    <w:rsid w:val="7F0F7992"/>
    <w:rsid w:val="7F187D0E"/>
    <w:rsid w:val="7F1B0865"/>
    <w:rsid w:val="7F271AA3"/>
    <w:rsid w:val="7F354370"/>
    <w:rsid w:val="7F397345"/>
    <w:rsid w:val="7F4D3BF2"/>
    <w:rsid w:val="7F542B37"/>
    <w:rsid w:val="7F57085D"/>
    <w:rsid w:val="7F6A77AB"/>
    <w:rsid w:val="7F6B2248"/>
    <w:rsid w:val="7F725E7C"/>
    <w:rsid w:val="7F761ADC"/>
    <w:rsid w:val="7F7D7A8E"/>
    <w:rsid w:val="7F872588"/>
    <w:rsid w:val="7F8725BA"/>
    <w:rsid w:val="7F8C6A8F"/>
    <w:rsid w:val="7F994DB5"/>
    <w:rsid w:val="7F9C175D"/>
    <w:rsid w:val="7F9F773D"/>
    <w:rsid w:val="7FA85877"/>
    <w:rsid w:val="7FAB3A81"/>
    <w:rsid w:val="7FCB6843"/>
    <w:rsid w:val="7FDC52B9"/>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50" w:after="50" w:line="260" w:lineRule="auto"/>
      <w:ind w:left="0" w:right="0" w:rightChars="0"/>
      <w:outlineLvl w:val="1"/>
    </w:pPr>
    <w:rPr>
      <w:rFonts w:ascii="Times New Roman" w:hAnsi="Times New Roman" w:eastAsia="MS Mincho"/>
      <w:b/>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List 2"/>
    <w:basedOn w:val="13"/>
    <w:qFormat/>
    <w:uiPriority w:val="0"/>
    <w:pPr>
      <w:numPr>
        <w:ilvl w:val="0"/>
        <w:numId w:val="2"/>
      </w:numPr>
      <w:snapToGrid w:val="0"/>
      <w:spacing w:before="120"/>
      <w:ind w:firstLine="0" w:firstLineChars="0"/>
      <w:contextualSpacing w:val="0"/>
      <w:jc w:val="both"/>
    </w:pPr>
    <w:rPr>
      <w:rFonts w:eastAsia="宋体"/>
      <w:bCs/>
      <w:sz w:val="21"/>
      <w:szCs w:val="21"/>
      <w:lang w:val="en-GB" w:eastAsia="zh-CN"/>
    </w:rPr>
  </w:style>
  <w:style w:type="paragraph" w:styleId="13">
    <w:name w:val="List"/>
    <w:basedOn w:val="1"/>
    <w:qFormat/>
    <w:uiPriority w:val="0"/>
    <w:pPr>
      <w:ind w:left="568" w:hanging="284"/>
    </w:pPr>
  </w:style>
  <w:style w:type="paragraph" w:styleId="14">
    <w:name w:val="toc 3"/>
    <w:basedOn w:val="1"/>
    <w:next w:val="1"/>
    <w:unhideWhenUsed/>
    <w:qFormat/>
    <w:uiPriority w:val="39"/>
    <w:pPr>
      <w:adjustRightInd w:val="0"/>
      <w:ind w:left="1282" w:leftChars="400" w:hanging="442" w:hangingChars="200"/>
    </w:pPr>
    <w:rPr>
      <w:b/>
      <w:i/>
      <w:sz w:val="20"/>
    </w:rPr>
  </w:style>
  <w:style w:type="paragraph" w:styleId="15">
    <w:name w:val="Balloon Text"/>
    <w:basedOn w:val="1"/>
    <w:link w:val="30"/>
    <w:semiHidden/>
    <w:unhideWhenUsed/>
    <w:qFormat/>
    <w:uiPriority w:val="99"/>
    <w:pPr>
      <w:spacing w:line="240" w:lineRule="auto"/>
    </w:pPr>
    <w:rPr>
      <w:sz w:val="18"/>
      <w:szCs w:val="18"/>
    </w:rPr>
  </w:style>
  <w:style w:type="paragraph" w:styleId="16">
    <w:name w:val="footer"/>
    <w:basedOn w:val="1"/>
    <w:link w:val="39"/>
    <w:unhideWhenUsed/>
    <w:qFormat/>
    <w:uiPriority w:val="0"/>
    <w:pPr>
      <w:tabs>
        <w:tab w:val="center" w:pos="4153"/>
        <w:tab w:val="right" w:pos="8306"/>
      </w:tabs>
      <w:snapToGrid w:val="0"/>
      <w:jc w:val="left"/>
    </w:pPr>
    <w:rPr>
      <w:sz w:val="18"/>
      <w:szCs w:val="18"/>
    </w:rPr>
  </w:style>
  <w:style w:type="paragraph" w:styleId="17">
    <w:name w:val="header"/>
    <w:basedOn w:val="1"/>
    <w:link w:val="38"/>
    <w:semiHidden/>
    <w:qFormat/>
    <w:uiPriority w:val="0"/>
    <w:pPr>
      <w:tabs>
        <w:tab w:val="center" w:pos="4680"/>
        <w:tab w:val="right" w:pos="9360"/>
      </w:tabs>
      <w:spacing w:line="240" w:lineRule="auto"/>
    </w:pPr>
  </w:style>
  <w:style w:type="paragraph" w:styleId="18">
    <w:name w:val="toc 1"/>
    <w:basedOn w:val="1"/>
    <w:next w:val="1"/>
    <w:unhideWhenUsed/>
    <w:qFormat/>
    <w:uiPriority w:val="39"/>
    <w:rPr>
      <w:rFonts w:eastAsiaTheme="minorEastAsia"/>
      <w:b/>
      <w:i/>
      <w:sz w:val="20"/>
    </w:r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unhideWhenUsed/>
    <w:qFormat/>
    <w:uiPriority w:val="39"/>
    <w:pPr>
      <w:ind w:left="420" w:leftChars="200"/>
    </w:pPr>
    <w:rPr>
      <w:b/>
      <w:i/>
      <w:sz w:val="20"/>
    </w:rPr>
  </w:style>
  <w:style w:type="paragraph" w:styleId="21">
    <w:name w:val="Normal (Web)"/>
    <w:basedOn w:val="1"/>
    <w:semiHidden/>
    <w:unhideWhenUsed/>
    <w:qFormat/>
    <w:uiPriority w:val="99"/>
    <w:pPr>
      <w:spacing w:beforeAutospacing="1" w:afterAutospacing="1"/>
      <w:jc w:val="left"/>
    </w:pPr>
    <w:rPr>
      <w:kern w:val="0"/>
      <w:sz w:val="24"/>
    </w:rPr>
  </w:style>
  <w:style w:type="paragraph" w:styleId="22">
    <w:name w:val="annotation subject"/>
    <w:basedOn w:val="11"/>
    <w:next w:val="11"/>
    <w:link w:val="43"/>
    <w:semiHidden/>
    <w:unhideWhenUsed/>
    <w:qFormat/>
    <w:uiPriority w:val="99"/>
    <w:rPr>
      <w:b/>
      <w:bCs/>
    </w:rPr>
  </w:style>
  <w:style w:type="table" w:styleId="24">
    <w:name w:val="Table Grid"/>
    <w:basedOn w:val="2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Emphasis"/>
    <w:basedOn w:val="25"/>
    <w:qFormat/>
    <w:uiPriority w:val="20"/>
    <w:rPr>
      <w:i/>
    </w:rPr>
  </w:style>
  <w:style w:type="character" w:styleId="28">
    <w:name w:val="Hyperlink"/>
    <w:qFormat/>
    <w:uiPriority w:val="99"/>
    <w:rPr>
      <w:color w:val="0000FF"/>
      <w:u w:val="single"/>
    </w:rPr>
  </w:style>
  <w:style w:type="character" w:styleId="29">
    <w:name w:val="annotation reference"/>
    <w:basedOn w:val="25"/>
    <w:unhideWhenUsed/>
    <w:qFormat/>
    <w:uiPriority w:val="0"/>
    <w:rPr>
      <w:sz w:val="16"/>
      <w:szCs w:val="16"/>
    </w:rPr>
  </w:style>
  <w:style w:type="character" w:customStyle="1" w:styleId="30">
    <w:name w:val="批注框文本 Char"/>
    <w:basedOn w:val="25"/>
    <w:link w:val="15"/>
    <w:semiHidden/>
    <w:qFormat/>
    <w:uiPriority w:val="99"/>
    <w:rPr>
      <w:kern w:val="2"/>
      <w:sz w:val="18"/>
      <w:szCs w:val="18"/>
    </w:rPr>
  </w:style>
  <w:style w:type="paragraph" w:customStyle="1" w:styleId="31">
    <w:name w:val="YJ-Proposal"/>
    <w:basedOn w:val="1"/>
    <w:qFormat/>
    <w:uiPriority w:val="0"/>
    <w:pPr>
      <w:numPr>
        <w:ilvl w:val="0"/>
        <w:numId w:val="3"/>
      </w:numPr>
    </w:pPr>
    <w:rPr>
      <w:rFonts w:eastAsiaTheme="minorEastAsia"/>
      <w:b/>
      <w:bCs/>
      <w:i/>
      <w:iCs/>
      <w:sz w:val="20"/>
      <w:lang w:val="en-GB" w:eastAsia="en-US"/>
    </w:rPr>
  </w:style>
  <w:style w:type="paragraph" w:customStyle="1" w:styleId="32">
    <w:name w:val="YJ-Observation"/>
    <w:basedOn w:val="31"/>
    <w:qFormat/>
    <w:uiPriority w:val="0"/>
    <w:pPr>
      <w:numPr>
        <w:ilvl w:val="0"/>
        <w:numId w:val="4"/>
      </w:numPr>
      <w:tabs>
        <w:tab w:val="left" w:pos="420"/>
      </w:tabs>
    </w:pPr>
  </w:style>
  <w:style w:type="paragraph" w:customStyle="1" w:styleId="33">
    <w:name w:val="References"/>
    <w:basedOn w:val="1"/>
    <w:qFormat/>
    <w:uiPriority w:val="0"/>
    <w:pPr>
      <w:numPr>
        <w:ilvl w:val="0"/>
        <w:numId w:val="5"/>
      </w:numPr>
      <w:spacing w:after="60"/>
    </w:pPr>
    <w:rPr>
      <w:szCs w:val="16"/>
    </w:rPr>
  </w:style>
  <w:style w:type="paragraph" w:styleId="34">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6"/>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Char"/>
    <w:basedOn w:val="25"/>
    <w:link w:val="17"/>
    <w:semiHidden/>
    <w:qFormat/>
    <w:uiPriority w:val="0"/>
    <w:rPr>
      <w:rFonts w:eastAsia="宋体"/>
      <w:kern w:val="2"/>
      <w:sz w:val="21"/>
    </w:rPr>
  </w:style>
  <w:style w:type="character" w:customStyle="1" w:styleId="39">
    <w:name w:val="页脚 Char"/>
    <w:basedOn w:val="25"/>
    <w:link w:val="16"/>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文档结构图 Char"/>
    <w:basedOn w:val="25"/>
    <w:link w:val="10"/>
    <w:semiHidden/>
    <w:qFormat/>
    <w:uiPriority w:val="99"/>
    <w:rPr>
      <w:rFonts w:ascii="宋体"/>
      <w:kern w:val="2"/>
      <w:sz w:val="18"/>
      <w:szCs w:val="18"/>
    </w:rPr>
  </w:style>
  <w:style w:type="character" w:customStyle="1" w:styleId="42">
    <w:name w:val="批注文字 Char"/>
    <w:basedOn w:val="25"/>
    <w:link w:val="11"/>
    <w:qFormat/>
    <w:uiPriority w:val="0"/>
    <w:rPr>
      <w:rFonts w:eastAsia="宋体"/>
      <w:kern w:val="2"/>
      <w:sz w:val="21"/>
    </w:rPr>
  </w:style>
  <w:style w:type="character" w:customStyle="1" w:styleId="43">
    <w:name w:val="批注主题 Char"/>
    <w:basedOn w:val="42"/>
    <w:link w:val="22"/>
    <w:qFormat/>
    <w:uiPriority w:val="0"/>
    <w:rPr>
      <w:rFonts w:eastAsia="宋体"/>
      <w:kern w:val="2"/>
      <w:sz w:val="21"/>
    </w:rPr>
  </w:style>
  <w:style w:type="paragraph" w:customStyle="1" w:styleId="44">
    <w:name w:val="subullet"/>
    <w:basedOn w:val="1"/>
    <w:qFormat/>
    <w:uiPriority w:val="0"/>
    <w:pPr>
      <w:numPr>
        <w:ilvl w:val="1"/>
        <w:numId w:val="3"/>
      </w:numPr>
      <w:spacing w:before="50" w:after="50"/>
    </w:pPr>
    <w:rPr>
      <w:rFonts w:hint="eastAsia" w:eastAsiaTheme="minorEastAsia"/>
      <w:b/>
      <w:bCs/>
      <w:i/>
      <w:iCs/>
      <w:sz w:val="20"/>
    </w:rPr>
  </w:style>
  <w:style w:type="paragraph" w:customStyle="1" w:styleId="45">
    <w:name w:val="subsub"/>
    <w:basedOn w:val="1"/>
    <w:qFormat/>
    <w:uiPriority w:val="0"/>
    <w:pPr>
      <w:numPr>
        <w:ilvl w:val="2"/>
        <w:numId w:val="3"/>
      </w:numPr>
      <w:tabs>
        <w:tab w:val="left" w:pos="0"/>
      </w:tabs>
      <w:spacing w:before="50" w:after="50"/>
    </w:pPr>
    <w:rPr>
      <w:rFonts w:hint="eastAsia" w:eastAsiaTheme="minorEastAsia"/>
      <w:b/>
      <w:bCs/>
      <w:i/>
      <w:iCs/>
      <w:sz w:val="20"/>
    </w:rPr>
  </w:style>
  <w:style w:type="paragraph" w:customStyle="1" w:styleId="46">
    <w:name w:val="3rd level proposal"/>
    <w:basedOn w:val="35"/>
    <w:next w:val="1"/>
    <w:qFormat/>
    <w:uiPriority w:val="0"/>
    <w:pPr>
      <w:numPr>
        <w:ilvl w:val="0"/>
        <w:numId w:val="7"/>
      </w:numPr>
      <w:ind w:left="1282" w:leftChars="400" w:hanging="442" w:hangingChars="200"/>
      <w:jc w:val="left"/>
    </w:pPr>
  </w:style>
  <w:style w:type="paragraph" w:customStyle="1" w:styleId="47">
    <w:name w:val="B1"/>
    <w:basedOn w:val="13"/>
    <w:link w:val="61"/>
    <w:qFormat/>
    <w:uiPriority w:val="0"/>
  </w:style>
  <w:style w:type="paragraph" w:customStyle="1" w:styleId="48">
    <w:name w:val="B3"/>
    <w:basedOn w:val="1"/>
    <w:qFormat/>
    <w:uiPriority w:val="0"/>
    <w:pPr>
      <w:ind w:left="1135" w:hanging="284"/>
    </w:pPr>
  </w:style>
  <w:style w:type="character" w:styleId="49">
    <w:name w:val="Placeholder Text"/>
    <w:basedOn w:val="25"/>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5"/>
    <w:link w:val="5"/>
    <w:qFormat/>
    <w:uiPriority w:val="0"/>
    <w:rPr>
      <w:rFonts w:ascii="Arial" w:hAnsi="Arial" w:eastAsia="MS Mincho"/>
      <w:kern w:val="2"/>
      <w:sz w:val="24"/>
    </w:rPr>
  </w:style>
  <w:style w:type="character" w:customStyle="1" w:styleId="54">
    <w:name w:val="标题 3 Char"/>
    <w:basedOn w:val="25"/>
    <w:link w:val="4"/>
    <w:qFormat/>
    <w:uiPriority w:val="0"/>
    <w:rPr>
      <w:rFonts w:ascii="Arial" w:hAnsi="Arial" w:eastAsia="MS Mincho"/>
      <w:kern w:val="2"/>
      <w:sz w:val="24"/>
    </w:rPr>
  </w:style>
  <w:style w:type="character" w:customStyle="1" w:styleId="55">
    <w:name w:val="标题 2 Char"/>
    <w:basedOn w:val="25"/>
    <w:link w:val="3"/>
    <w:qFormat/>
    <w:uiPriority w:val="0"/>
    <w:rPr>
      <w:rFonts w:ascii="Times New Roman" w:hAnsi="Times New Roman" w:eastAsia="MS Mincho"/>
      <w:b/>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4"/>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5"/>
    <w:qFormat/>
    <w:uiPriority w:val="0"/>
  </w:style>
  <w:style w:type="paragraph" w:customStyle="1" w:styleId="72">
    <w:name w:val="样式 页眉"/>
    <w:basedOn w:val="17"/>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font21"/>
    <w:basedOn w:val="25"/>
    <w:qFormat/>
    <w:uiPriority w:val="0"/>
    <w:rPr>
      <w:rFonts w:hint="default" w:ascii="Times New Roman" w:hAnsi="Times New Roman" w:cs="Times New Roman"/>
      <w:color w:val="000000"/>
      <w:sz w:val="18"/>
      <w:szCs w:val="18"/>
      <w:u w:val="none"/>
    </w:rPr>
  </w:style>
  <w:style w:type="character" w:customStyle="1" w:styleId="75">
    <w:name w:val="font01"/>
    <w:basedOn w:val="25"/>
    <w:qFormat/>
    <w:uiPriority w:val="0"/>
    <w:rPr>
      <w:rFonts w:hint="default" w:ascii="Arial" w:hAnsi="Arial" w:cs="Arial"/>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0</TotalTime>
  <ScaleCrop>false</ScaleCrop>
  <LinksUpToDate>false</LinksUpToDate>
  <CharactersWithSpaces>7447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 Li Lu</cp:lastModifiedBy>
  <dcterms:modified xsi:type="dcterms:W3CDTF">2024-05-13T11:46:59Z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A0C8FFABFF574A819B8ADEA226EDA252</vt:lpwstr>
  </property>
</Properties>
</file>